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B4A97" w14:textId="51499CB7" w:rsidR="00BC5E43" w:rsidRPr="0010230C" w:rsidRDefault="002D3F91" w:rsidP="0047538E">
      <w:pPr>
        <w:pStyle w:val="Tytu"/>
        <w:spacing w:line="276" w:lineRule="auto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INFORMACJE I WNIOSKI ZARZĄDU WOJEWÓDZTWA POMORSKIEGO</w:t>
      </w:r>
      <w:r w:rsidRPr="0010230C">
        <w:rPr>
          <w:rFonts w:ascii="Arial" w:hAnsi="Arial" w:cs="Arial"/>
          <w:szCs w:val="24"/>
        </w:rPr>
        <w:br/>
      </w:r>
      <w:r w:rsidR="003E122C" w:rsidRPr="0010230C">
        <w:rPr>
          <w:rFonts w:ascii="Arial" w:hAnsi="Arial" w:cs="Arial"/>
          <w:szCs w:val="24"/>
        </w:rPr>
        <w:t xml:space="preserve">do </w:t>
      </w:r>
      <w:r w:rsidR="00C872C1" w:rsidRPr="0010230C">
        <w:rPr>
          <w:rFonts w:ascii="Arial" w:hAnsi="Arial" w:cs="Arial"/>
          <w:szCs w:val="24"/>
        </w:rPr>
        <w:t>planu ogólnego</w:t>
      </w:r>
      <w:r w:rsidR="003E122C" w:rsidRPr="0010230C">
        <w:rPr>
          <w:rFonts w:ascii="Arial" w:hAnsi="Arial" w:cs="Arial"/>
          <w:szCs w:val="24"/>
        </w:rPr>
        <w:t xml:space="preserve"> </w:t>
      </w:r>
      <w:r w:rsidR="009A45A8" w:rsidRPr="0010230C">
        <w:rPr>
          <w:rFonts w:ascii="Arial" w:hAnsi="Arial" w:cs="Arial"/>
          <w:szCs w:val="24"/>
        </w:rPr>
        <w:t>G</w:t>
      </w:r>
      <w:r w:rsidR="00C363AF" w:rsidRPr="0010230C">
        <w:rPr>
          <w:rFonts w:ascii="Arial" w:hAnsi="Arial" w:cs="Arial"/>
          <w:szCs w:val="24"/>
        </w:rPr>
        <w:t xml:space="preserve">miny </w:t>
      </w:r>
      <w:r w:rsidR="009A45A8" w:rsidRPr="0010230C">
        <w:rPr>
          <w:rFonts w:ascii="Arial" w:hAnsi="Arial" w:cs="Arial"/>
          <w:szCs w:val="24"/>
        </w:rPr>
        <w:t>Czarne</w:t>
      </w:r>
    </w:p>
    <w:p w14:paraId="6793E291" w14:textId="3048B125" w:rsidR="00690D9D" w:rsidRPr="0010230C" w:rsidRDefault="00690D9D" w:rsidP="0047538E">
      <w:pPr>
        <w:spacing w:line="276" w:lineRule="auto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___________________________________________________________________</w:t>
      </w:r>
    </w:p>
    <w:p w14:paraId="1FB966F6" w14:textId="77777777" w:rsidR="00BC5E43" w:rsidRPr="0010230C" w:rsidRDefault="002D3F91" w:rsidP="0047538E">
      <w:pPr>
        <w:pStyle w:val="Nagwek1"/>
        <w:spacing w:line="276" w:lineRule="auto"/>
        <w:rPr>
          <w:rFonts w:ascii="Arial" w:hAnsi="Arial" w:cs="Arial"/>
          <w:b w:val="0"/>
          <w:szCs w:val="24"/>
        </w:rPr>
      </w:pPr>
      <w:r w:rsidRPr="0010230C">
        <w:rPr>
          <w:rFonts w:ascii="Arial" w:hAnsi="Arial" w:cs="Arial"/>
          <w:szCs w:val="24"/>
        </w:rPr>
        <w:t xml:space="preserve">Podstawa prawna </w:t>
      </w:r>
      <w:r w:rsidRPr="0010230C">
        <w:rPr>
          <w:rFonts w:ascii="Arial" w:hAnsi="Arial" w:cs="Arial"/>
          <w:b w:val="0"/>
          <w:szCs w:val="24"/>
        </w:rPr>
        <w:t>wyrażania opinii, składania wniosków i udostępniania informacji:</w:t>
      </w:r>
    </w:p>
    <w:p w14:paraId="26AFB89F" w14:textId="534A6186" w:rsidR="00BC5E43" w:rsidRPr="0010230C" w:rsidRDefault="002302DF" w:rsidP="005F061F">
      <w:pPr>
        <w:pStyle w:val="Akapitzlist"/>
        <w:numPr>
          <w:ilvl w:val="0"/>
          <w:numId w:val="8"/>
        </w:numPr>
        <w:spacing w:line="276" w:lineRule="auto"/>
        <w:ind w:left="426"/>
        <w:rPr>
          <w:rFonts w:ascii="Arial" w:hAnsi="Arial" w:cs="Arial"/>
          <w:szCs w:val="24"/>
          <w:lang w:eastAsia="pl-PL"/>
        </w:rPr>
      </w:pPr>
      <w:r w:rsidRPr="0010230C">
        <w:rPr>
          <w:rFonts w:ascii="Arial" w:hAnsi="Arial" w:cs="Arial"/>
          <w:szCs w:val="24"/>
          <w:lang w:eastAsia="pl-PL"/>
        </w:rPr>
        <w:t>art.</w:t>
      </w:r>
      <w:r w:rsidR="00426868" w:rsidRPr="0010230C">
        <w:rPr>
          <w:rFonts w:ascii="Arial" w:hAnsi="Arial" w:cs="Arial"/>
          <w:szCs w:val="24"/>
          <w:lang w:eastAsia="pl-PL"/>
        </w:rPr>
        <w:t xml:space="preserve"> </w:t>
      </w:r>
      <w:r w:rsidRPr="0010230C">
        <w:rPr>
          <w:rFonts w:ascii="Arial" w:hAnsi="Arial" w:cs="Arial"/>
          <w:szCs w:val="24"/>
          <w:lang w:eastAsia="pl-PL"/>
        </w:rPr>
        <w:t>23, w związku z art. 13i ust. 3 pkt 2 ustawy z dnia 27 marca 2003 r. o planowaniu i zagospodarowaniu przestrzennym (</w:t>
      </w:r>
      <w:r w:rsidRPr="0010230C">
        <w:rPr>
          <w:rFonts w:ascii="Arial" w:hAnsi="Arial" w:cs="Arial"/>
          <w:szCs w:val="24"/>
        </w:rPr>
        <w:t>t.j. Dz. U. z 202</w:t>
      </w:r>
      <w:r w:rsidR="00E97EF2" w:rsidRPr="0010230C">
        <w:rPr>
          <w:rFonts w:ascii="Arial" w:hAnsi="Arial" w:cs="Arial"/>
          <w:szCs w:val="24"/>
        </w:rPr>
        <w:t>4</w:t>
      </w:r>
      <w:r w:rsidRPr="0010230C">
        <w:rPr>
          <w:rFonts w:ascii="Arial" w:hAnsi="Arial" w:cs="Arial"/>
          <w:szCs w:val="24"/>
        </w:rPr>
        <w:t xml:space="preserve"> r. poz. </w:t>
      </w:r>
      <w:r w:rsidR="00E97EF2" w:rsidRPr="0010230C">
        <w:rPr>
          <w:rFonts w:ascii="Arial" w:hAnsi="Arial" w:cs="Arial"/>
          <w:szCs w:val="24"/>
        </w:rPr>
        <w:t>11</w:t>
      </w:r>
      <w:r w:rsidR="00717B12" w:rsidRPr="0010230C">
        <w:rPr>
          <w:rFonts w:ascii="Arial" w:hAnsi="Arial" w:cs="Arial"/>
          <w:szCs w:val="24"/>
        </w:rPr>
        <w:t>30</w:t>
      </w:r>
      <w:r w:rsidR="00467E6A" w:rsidRPr="0010230C">
        <w:rPr>
          <w:rFonts w:ascii="Arial" w:hAnsi="Arial" w:cs="Arial"/>
          <w:szCs w:val="24"/>
        </w:rPr>
        <w:t xml:space="preserve"> </w:t>
      </w:r>
      <w:r w:rsidR="0053467B" w:rsidRPr="0010230C">
        <w:rPr>
          <w:rFonts w:ascii="Arial" w:hAnsi="Arial" w:cs="Arial"/>
          <w:szCs w:val="24"/>
        </w:rPr>
        <w:t>z</w:t>
      </w:r>
      <w:r w:rsidR="0010230C">
        <w:rPr>
          <w:rFonts w:ascii="Arial" w:hAnsi="Arial" w:cs="Arial"/>
          <w:szCs w:val="24"/>
        </w:rPr>
        <w:t xml:space="preserve">e </w:t>
      </w:r>
      <w:r w:rsidR="00467E6A" w:rsidRPr="0010230C">
        <w:rPr>
          <w:rFonts w:ascii="Arial" w:hAnsi="Arial" w:cs="Arial"/>
          <w:szCs w:val="24"/>
        </w:rPr>
        <w:t>zm.</w:t>
      </w:r>
      <w:r w:rsidRPr="0010230C">
        <w:rPr>
          <w:rFonts w:ascii="Arial" w:hAnsi="Arial" w:cs="Arial"/>
          <w:szCs w:val="24"/>
          <w:lang w:eastAsia="pl-PL"/>
        </w:rPr>
        <w:t>).</w:t>
      </w:r>
      <w:r w:rsidR="002D3F91" w:rsidRPr="0010230C">
        <w:rPr>
          <w:rFonts w:ascii="Arial" w:hAnsi="Arial" w:cs="Arial"/>
          <w:szCs w:val="24"/>
          <w:lang w:eastAsia="pl-PL"/>
        </w:rPr>
        <w:t xml:space="preserve"> </w:t>
      </w:r>
    </w:p>
    <w:p w14:paraId="3E4A69A7" w14:textId="77464788" w:rsidR="00BC5E43" w:rsidRPr="0010230C" w:rsidRDefault="002D3F91" w:rsidP="0047538E">
      <w:pPr>
        <w:spacing w:line="276" w:lineRule="auto"/>
        <w:rPr>
          <w:rFonts w:ascii="Arial" w:hAnsi="Arial" w:cs="Arial"/>
          <w:b/>
          <w:szCs w:val="24"/>
        </w:rPr>
      </w:pPr>
      <w:r w:rsidRPr="0010230C">
        <w:rPr>
          <w:rFonts w:ascii="Arial" w:hAnsi="Arial" w:cs="Arial"/>
          <w:b/>
          <w:szCs w:val="24"/>
        </w:rPr>
        <w:t xml:space="preserve">Przedmiot wniosków i informacji – stosownie do celów i wymogów </w:t>
      </w:r>
      <w:r w:rsidR="00C872C1" w:rsidRPr="0010230C">
        <w:rPr>
          <w:rFonts w:ascii="Arial" w:hAnsi="Arial" w:cs="Arial"/>
          <w:b/>
          <w:szCs w:val="24"/>
        </w:rPr>
        <w:t>planu ogólnego:</w:t>
      </w:r>
    </w:p>
    <w:p w14:paraId="4DBF4BFA" w14:textId="628802EE" w:rsidR="00BC5E43" w:rsidRPr="0010230C" w:rsidRDefault="002302DF" w:rsidP="0047538E">
      <w:pPr>
        <w:pStyle w:val="Nagwek20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0230C">
        <w:rPr>
          <w:rStyle w:val="Nagwek2Znak"/>
          <w:rFonts w:ascii="Arial" w:hAnsi="Arial" w:cs="Arial"/>
          <w:b/>
          <w:szCs w:val="24"/>
        </w:rPr>
        <w:t>Zgodnie z art. 13b pkt 2 ustawy z dnia 27 marca 2003 r. o planowaniu i zagospodarowaniu przestrzennym (</w:t>
      </w:r>
      <w:r w:rsidR="00DE75F5" w:rsidRPr="0010230C">
        <w:rPr>
          <w:rFonts w:ascii="Arial" w:hAnsi="Arial" w:cs="Arial"/>
          <w:szCs w:val="24"/>
        </w:rPr>
        <w:t>t.j. Dz. U. z 2024 r. poz. 1130</w:t>
      </w:r>
      <w:r w:rsidR="00467E6A" w:rsidRPr="0010230C">
        <w:rPr>
          <w:rFonts w:ascii="Arial" w:hAnsi="Arial" w:cs="Arial"/>
          <w:szCs w:val="24"/>
        </w:rPr>
        <w:t xml:space="preserve"> </w:t>
      </w:r>
      <w:r w:rsidR="0053467B" w:rsidRPr="0010230C">
        <w:rPr>
          <w:rFonts w:ascii="Arial" w:hAnsi="Arial" w:cs="Arial"/>
          <w:szCs w:val="24"/>
        </w:rPr>
        <w:t>z</w:t>
      </w:r>
      <w:r w:rsidR="0010230C">
        <w:rPr>
          <w:rFonts w:ascii="Arial" w:hAnsi="Arial" w:cs="Arial"/>
          <w:szCs w:val="24"/>
        </w:rPr>
        <w:t xml:space="preserve">e </w:t>
      </w:r>
      <w:r w:rsidR="0053467B" w:rsidRPr="0010230C">
        <w:rPr>
          <w:rFonts w:ascii="Arial" w:hAnsi="Arial" w:cs="Arial"/>
          <w:szCs w:val="24"/>
        </w:rPr>
        <w:t>zm.</w:t>
      </w:r>
      <w:r w:rsidRPr="0010230C">
        <w:rPr>
          <w:rStyle w:val="Nagwek2Znak"/>
          <w:rFonts w:ascii="Arial" w:hAnsi="Arial" w:cs="Arial"/>
          <w:b/>
          <w:szCs w:val="24"/>
        </w:rPr>
        <w:t>) w planie ogólnym gminy należy uwzględnić</w:t>
      </w:r>
      <w:r w:rsidR="00BB37F2" w:rsidRPr="0010230C">
        <w:rPr>
          <w:rFonts w:ascii="Arial" w:hAnsi="Arial" w:cs="Arial"/>
          <w:bCs/>
          <w:szCs w:val="24"/>
        </w:rPr>
        <w:t xml:space="preserve"> </w:t>
      </w:r>
      <w:r w:rsidR="002D3F91" w:rsidRPr="0010230C">
        <w:rPr>
          <w:rFonts w:ascii="Arial" w:hAnsi="Arial" w:cs="Arial"/>
          <w:szCs w:val="24"/>
        </w:rPr>
        <w:t>ustalenia Planu</w:t>
      </w:r>
      <w:r w:rsidR="002D3F91" w:rsidRPr="0010230C">
        <w:rPr>
          <w:rStyle w:val="Zakotwiczenieprzypisudolnego"/>
          <w:rFonts w:ascii="Arial" w:hAnsi="Arial" w:cs="Arial"/>
          <w:szCs w:val="24"/>
        </w:rPr>
        <w:footnoteReference w:id="1"/>
      </w:r>
      <w:r w:rsidR="002D3F91" w:rsidRPr="0010230C">
        <w:rPr>
          <w:rFonts w:ascii="Arial" w:hAnsi="Arial" w:cs="Arial"/>
          <w:szCs w:val="24"/>
        </w:rPr>
        <w:t xml:space="preserve"> zagospodarowania przestrzennego województwa pomorskiego</w:t>
      </w:r>
      <w:r w:rsidR="002D3F91" w:rsidRPr="0010230C">
        <w:rPr>
          <w:rStyle w:val="Zakotwiczenieprzypisudolnego"/>
          <w:rFonts w:ascii="Arial" w:hAnsi="Arial" w:cs="Arial"/>
          <w:szCs w:val="24"/>
        </w:rPr>
        <w:footnoteReference w:id="2"/>
      </w:r>
      <w:r w:rsidR="002D3F91" w:rsidRPr="0010230C">
        <w:rPr>
          <w:rFonts w:ascii="Arial" w:hAnsi="Arial" w:cs="Arial"/>
          <w:szCs w:val="24"/>
        </w:rPr>
        <w:t xml:space="preserve"> - uchwała Nr 318/XXX/16 Sejmiku Województwa Pomorskiego z dnia 29 grudnia 2016 r. (Dz. Urz. Woj. Pom. z 2017</w:t>
      </w:r>
      <w:r w:rsidR="003123C4" w:rsidRPr="0010230C">
        <w:rPr>
          <w:rFonts w:ascii="Arial" w:hAnsi="Arial" w:cs="Arial"/>
          <w:szCs w:val="24"/>
        </w:rPr>
        <w:t xml:space="preserve"> r.</w:t>
      </w:r>
      <w:r w:rsidR="002D3F91" w:rsidRPr="0010230C">
        <w:rPr>
          <w:rFonts w:ascii="Arial" w:hAnsi="Arial" w:cs="Arial"/>
          <w:szCs w:val="24"/>
        </w:rPr>
        <w:t xml:space="preserve"> poz. 603)</w:t>
      </w:r>
      <w:r w:rsidR="00632EF1" w:rsidRPr="0010230C">
        <w:rPr>
          <w:rFonts w:ascii="Arial" w:hAnsi="Arial" w:cs="Arial"/>
          <w:szCs w:val="24"/>
        </w:rPr>
        <w:t xml:space="preserve"> -</w:t>
      </w:r>
      <w:r w:rsidR="002D3F91" w:rsidRPr="0010230C">
        <w:rPr>
          <w:rFonts w:ascii="Arial" w:hAnsi="Arial" w:cs="Arial"/>
          <w:szCs w:val="24"/>
        </w:rPr>
        <w:t xml:space="preserve"> w tym w szczególności:</w:t>
      </w:r>
    </w:p>
    <w:p w14:paraId="3ED28ACA" w14:textId="5B0F1E95" w:rsidR="00BC5E43" w:rsidRPr="0010230C" w:rsidRDefault="002D3F91" w:rsidP="0047538E">
      <w:pPr>
        <w:pStyle w:val="Nagwek4"/>
        <w:numPr>
          <w:ilvl w:val="1"/>
          <w:numId w:val="4"/>
        </w:numPr>
        <w:spacing w:line="276" w:lineRule="auto"/>
        <w:ind w:left="709" w:hanging="283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ustalenia horyzontalne (zasady zagospodarowania przestrzennego) odnoszące się do </w:t>
      </w:r>
      <w:r w:rsidR="009A45A8" w:rsidRPr="0010230C">
        <w:rPr>
          <w:rFonts w:ascii="Arial" w:hAnsi="Arial" w:cs="Arial"/>
          <w:szCs w:val="24"/>
        </w:rPr>
        <w:t>P</w:t>
      </w:r>
      <w:r w:rsidR="00C872C1" w:rsidRPr="0010230C">
        <w:rPr>
          <w:rFonts w:ascii="Arial" w:hAnsi="Arial" w:cs="Arial"/>
          <w:szCs w:val="24"/>
        </w:rPr>
        <w:t>lanu ogólnego</w:t>
      </w:r>
      <w:r w:rsidR="00855E2A" w:rsidRPr="0010230C">
        <w:rPr>
          <w:rFonts w:ascii="Arial" w:hAnsi="Arial" w:cs="Arial"/>
          <w:szCs w:val="24"/>
        </w:rPr>
        <w:t xml:space="preserve"> </w:t>
      </w:r>
      <w:r w:rsidR="009A45A8" w:rsidRPr="0010230C">
        <w:rPr>
          <w:rFonts w:ascii="Arial" w:hAnsi="Arial" w:cs="Arial"/>
          <w:szCs w:val="24"/>
        </w:rPr>
        <w:t>G</w:t>
      </w:r>
      <w:r w:rsidR="0094064C" w:rsidRPr="0010230C">
        <w:rPr>
          <w:rFonts w:ascii="Arial" w:hAnsi="Arial" w:cs="Arial"/>
          <w:szCs w:val="24"/>
        </w:rPr>
        <w:t xml:space="preserve">miny </w:t>
      </w:r>
      <w:r w:rsidR="009A45A8" w:rsidRPr="0010230C">
        <w:rPr>
          <w:rFonts w:ascii="Arial" w:hAnsi="Arial" w:cs="Arial"/>
          <w:szCs w:val="24"/>
        </w:rPr>
        <w:t>Czarne</w:t>
      </w:r>
      <w:r w:rsidR="00584E07" w:rsidRPr="0010230C">
        <w:rPr>
          <w:rFonts w:ascii="Arial" w:hAnsi="Arial" w:cs="Arial"/>
          <w:szCs w:val="24"/>
        </w:rPr>
        <w:t xml:space="preserve"> </w:t>
      </w:r>
      <w:r w:rsidR="00952E7D" w:rsidRPr="0010230C">
        <w:rPr>
          <w:rFonts w:ascii="Arial" w:hAnsi="Arial" w:cs="Arial"/>
          <w:szCs w:val="24"/>
        </w:rPr>
        <w:t>w je</w:t>
      </w:r>
      <w:r w:rsidR="0053467B" w:rsidRPr="0010230C">
        <w:rPr>
          <w:rFonts w:ascii="Arial" w:hAnsi="Arial" w:cs="Arial"/>
          <w:szCs w:val="24"/>
        </w:rPr>
        <w:t>j</w:t>
      </w:r>
      <w:r w:rsidR="001208BC" w:rsidRPr="0010230C">
        <w:rPr>
          <w:rFonts w:ascii="Arial" w:hAnsi="Arial" w:cs="Arial"/>
          <w:szCs w:val="24"/>
        </w:rPr>
        <w:t xml:space="preserve"> </w:t>
      </w:r>
      <w:r w:rsidR="00952E7D" w:rsidRPr="0010230C">
        <w:rPr>
          <w:rFonts w:ascii="Arial" w:hAnsi="Arial" w:cs="Arial"/>
          <w:szCs w:val="24"/>
        </w:rPr>
        <w:t>granicach administracyjnych</w:t>
      </w:r>
      <w:r w:rsidRPr="0010230C">
        <w:rPr>
          <w:rFonts w:ascii="Arial" w:hAnsi="Arial" w:cs="Arial"/>
          <w:szCs w:val="24"/>
        </w:rPr>
        <w:t>:</w:t>
      </w:r>
    </w:p>
    <w:p w14:paraId="2E234079" w14:textId="77777777" w:rsidR="00BC5E43" w:rsidRPr="0010230C" w:rsidRDefault="002D3F91" w:rsidP="0047538E">
      <w:pPr>
        <w:pStyle w:val="Styl50"/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kształtowania struktur sieci osadniczej zgodnie z wymogami ładu przestrzennego:</w:t>
      </w:r>
    </w:p>
    <w:p w14:paraId="196D3AAD" w14:textId="2EE8F719" w:rsidR="00BC5E43" w:rsidRPr="0010230C" w:rsidRDefault="002D3F91" w:rsidP="005F061F">
      <w:pPr>
        <w:pStyle w:val="Akapitzlist"/>
        <w:numPr>
          <w:ilvl w:val="1"/>
          <w:numId w:val="17"/>
        </w:numPr>
        <w:spacing w:after="120" w:line="276" w:lineRule="auto"/>
        <w:ind w:left="1134" w:hanging="284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zasadę </w:t>
      </w:r>
      <w:r w:rsidR="00C22502" w:rsidRPr="0010230C">
        <w:rPr>
          <w:rFonts w:ascii="Arial" w:hAnsi="Arial" w:cs="Arial"/>
          <w:szCs w:val="24"/>
        </w:rPr>
        <w:t>kształtowania zrównoważonej struktury funkcjonalno-przestrzennej sieci osadniczej poprzez przyjęcie hierarchii określającej rangę i wynikającą z niej rolę poszczególnych ośrodków</w:t>
      </w:r>
      <w:r w:rsidR="005843D3" w:rsidRPr="0010230C">
        <w:rPr>
          <w:rFonts w:ascii="Arial" w:hAnsi="Arial" w:cs="Arial"/>
          <w:szCs w:val="24"/>
        </w:rPr>
        <w:t xml:space="preserve">, </w:t>
      </w:r>
      <w:r w:rsidR="0090336F" w:rsidRPr="0010230C">
        <w:rPr>
          <w:rFonts w:ascii="Arial" w:hAnsi="Arial" w:cs="Arial"/>
          <w:szCs w:val="24"/>
        </w:rPr>
        <w:t xml:space="preserve">w tym </w:t>
      </w:r>
      <w:r w:rsidR="00833ADD" w:rsidRPr="0010230C">
        <w:rPr>
          <w:rFonts w:ascii="Arial" w:hAnsi="Arial" w:cs="Arial"/>
          <w:szCs w:val="24"/>
        </w:rPr>
        <w:t xml:space="preserve">ośrodki </w:t>
      </w:r>
      <w:r w:rsidR="00076FAF" w:rsidRPr="0010230C">
        <w:rPr>
          <w:rFonts w:ascii="Arial" w:hAnsi="Arial" w:cs="Arial"/>
          <w:szCs w:val="24"/>
        </w:rPr>
        <w:t xml:space="preserve">lokalne </w:t>
      </w:r>
      <w:r w:rsidR="0094138D" w:rsidRPr="0010230C">
        <w:rPr>
          <w:rFonts w:ascii="Arial" w:hAnsi="Arial" w:cs="Arial"/>
          <w:szCs w:val="24"/>
        </w:rPr>
        <w:t>– miejscowości gminne</w:t>
      </w:r>
      <w:r w:rsidR="00492956" w:rsidRPr="0010230C">
        <w:rPr>
          <w:rFonts w:ascii="Arial" w:hAnsi="Arial" w:cs="Arial"/>
          <w:szCs w:val="24"/>
        </w:rPr>
        <w:t>, zwłaszcza miasta, w tym Czarne oraz inne miejscowości o potencjale do rozwoju jako ośrodki krystalizujące sieć osadniczą na poziomie lokalnym</w:t>
      </w:r>
      <w:r w:rsidR="008C3B38" w:rsidRPr="0010230C">
        <w:rPr>
          <w:rFonts w:ascii="Arial" w:hAnsi="Arial" w:cs="Arial"/>
          <w:szCs w:val="24"/>
        </w:rPr>
        <w:t xml:space="preserve"> </w:t>
      </w:r>
      <w:r w:rsidR="00BD3F5D" w:rsidRPr="0010230C">
        <w:rPr>
          <w:rFonts w:ascii="Arial" w:hAnsi="Arial" w:cs="Arial"/>
          <w:szCs w:val="24"/>
        </w:rPr>
        <w:t>(zasada 1.1.1.)</w:t>
      </w:r>
      <w:r w:rsidRPr="0010230C">
        <w:rPr>
          <w:rFonts w:ascii="Arial" w:hAnsi="Arial" w:cs="Arial"/>
          <w:szCs w:val="24"/>
        </w:rPr>
        <w:t>;</w:t>
      </w:r>
    </w:p>
    <w:p w14:paraId="0E70B4B9" w14:textId="11973652" w:rsidR="00BC5E43" w:rsidRPr="0010230C" w:rsidRDefault="002D3F91" w:rsidP="005F061F">
      <w:pPr>
        <w:pStyle w:val="Akapitzlist"/>
        <w:numPr>
          <w:ilvl w:val="1"/>
          <w:numId w:val="18"/>
        </w:numPr>
        <w:spacing w:line="276" w:lineRule="auto"/>
        <w:ind w:left="1134" w:hanging="28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pierwszeństwa wykorzystania obszarów istniejącego zagospodarowania oraz ograniczania rozwoju osadnictwa na terenach otwartych, polegającą między innymi na:</w:t>
      </w:r>
    </w:p>
    <w:p w14:paraId="14D1E7B0" w14:textId="2C62B5D3" w:rsidR="00BC5E43" w:rsidRPr="0010230C" w:rsidRDefault="002D3F91" w:rsidP="005F061F">
      <w:pPr>
        <w:pStyle w:val="Akapitzlist"/>
        <w:numPr>
          <w:ilvl w:val="2"/>
          <w:numId w:val="18"/>
        </w:numPr>
        <w:spacing w:after="120" w:line="276" w:lineRule="auto"/>
        <w:ind w:left="1560" w:hanging="397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lastRenderedPageBreak/>
        <w:t xml:space="preserve">regeneracji obszarów zdegradowanych, w szczególności poprzez rewitalizację oraz inne działania mające na celu przywrócenie utraconych walorów lub/i nadanie nowych funkcji (modernizacja, rewaloryzacja, </w:t>
      </w:r>
      <w:r w:rsidR="00680CF4" w:rsidRPr="0010230C">
        <w:rPr>
          <w:rFonts w:ascii="Arial" w:hAnsi="Arial" w:cs="Arial"/>
          <w:szCs w:val="24"/>
        </w:rPr>
        <w:t>adaptacja</w:t>
      </w:r>
      <w:r w:rsidRPr="0010230C">
        <w:rPr>
          <w:rFonts w:ascii="Arial" w:hAnsi="Arial" w:cs="Arial"/>
          <w:szCs w:val="24"/>
        </w:rPr>
        <w:t>,</w:t>
      </w:r>
      <w:r w:rsidR="009B63F7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>…),</w:t>
      </w:r>
    </w:p>
    <w:p w14:paraId="53B2138B" w14:textId="17EC3241" w:rsidR="00BC5E43" w:rsidRPr="0010230C" w:rsidRDefault="002D3F91" w:rsidP="005F061F">
      <w:pPr>
        <w:pStyle w:val="Akapitzlist"/>
        <w:numPr>
          <w:ilvl w:val="2"/>
          <w:numId w:val="18"/>
        </w:numPr>
        <w:spacing w:after="120" w:line="276" w:lineRule="auto"/>
        <w:ind w:left="1560" w:hanging="397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uzupełnianiu i kontynuacji obszarów o w pełni wykształconej zwartej strukturze </w:t>
      </w:r>
      <w:r w:rsidR="009B63F7" w:rsidRPr="0010230C">
        <w:rPr>
          <w:rFonts w:ascii="Arial" w:hAnsi="Arial" w:cs="Arial"/>
          <w:szCs w:val="24"/>
        </w:rPr>
        <w:t>funkcjonalno</w:t>
      </w:r>
      <w:r w:rsidRPr="0010230C">
        <w:rPr>
          <w:rFonts w:ascii="Arial" w:hAnsi="Arial" w:cs="Arial"/>
          <w:szCs w:val="24"/>
        </w:rPr>
        <w:t>-przestrzennej, z zapewnieniem standardów uwzględniających aspekty użytkowe, kulturowe i ekologiczne środowiska zamieszkania i pracy</w:t>
      </w:r>
      <w:r w:rsidR="00075B4E" w:rsidRPr="0010230C">
        <w:rPr>
          <w:rStyle w:val="Odwoanieprzypisudolnego"/>
          <w:rFonts w:ascii="Arial" w:hAnsi="Arial" w:cs="Arial"/>
          <w:szCs w:val="24"/>
        </w:rPr>
        <w:footnoteReference w:id="3"/>
      </w:r>
      <w:r w:rsidRPr="0010230C">
        <w:rPr>
          <w:rFonts w:ascii="Arial" w:hAnsi="Arial" w:cs="Arial"/>
          <w:szCs w:val="24"/>
        </w:rPr>
        <w:t>,</w:t>
      </w:r>
    </w:p>
    <w:p w14:paraId="71A495B5" w14:textId="77777777" w:rsidR="00BC5E43" w:rsidRPr="0010230C" w:rsidRDefault="002D3F91" w:rsidP="005F061F">
      <w:pPr>
        <w:pStyle w:val="Akapitzlist"/>
        <w:numPr>
          <w:ilvl w:val="2"/>
          <w:numId w:val="18"/>
        </w:numPr>
        <w:spacing w:after="120" w:line="276" w:lineRule="auto"/>
        <w:ind w:left="1560" w:hanging="39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otwieraniu nowych terenów pod rozwój osadnictwa na podstawie uzasadnionej potrzeby (zasada 1.1.4.);</w:t>
      </w:r>
    </w:p>
    <w:p w14:paraId="52103544" w14:textId="761243D1" w:rsidR="00BC5E43" w:rsidRPr="0010230C" w:rsidRDefault="002D3F91" w:rsidP="005F061F">
      <w:pPr>
        <w:pStyle w:val="Akapitzlist"/>
        <w:numPr>
          <w:ilvl w:val="1"/>
          <w:numId w:val="18"/>
        </w:numPr>
        <w:spacing w:line="276" w:lineRule="auto"/>
        <w:ind w:left="1134" w:hanging="28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zasadę kształtowania zwartych przestrzennie jednostek osadniczych, minimalizującą </w:t>
      </w:r>
      <w:proofErr w:type="spellStart"/>
      <w:r w:rsidRPr="0010230C">
        <w:rPr>
          <w:rFonts w:ascii="Arial" w:hAnsi="Arial" w:cs="Arial"/>
          <w:szCs w:val="24"/>
        </w:rPr>
        <w:t>terenochłonność</w:t>
      </w:r>
      <w:proofErr w:type="spellEnd"/>
      <w:r w:rsidRPr="0010230C">
        <w:rPr>
          <w:rFonts w:ascii="Arial" w:hAnsi="Arial" w:cs="Arial"/>
          <w:szCs w:val="24"/>
        </w:rPr>
        <w:t xml:space="preserve"> oraz potrzeby związane z ich obsługą, ograniczającą ich negatywny wpływ na środowisko oraz sprzyjającą rozwijaniu więzi społecznych, polegającą m. in. na:</w:t>
      </w:r>
    </w:p>
    <w:p w14:paraId="52D85CED" w14:textId="77777777" w:rsidR="00BC5E43" w:rsidRPr="0010230C" w:rsidRDefault="002D3F91" w:rsidP="005F061F">
      <w:pPr>
        <w:pStyle w:val="Akapitzlist"/>
        <w:numPr>
          <w:ilvl w:val="2"/>
          <w:numId w:val="18"/>
        </w:numPr>
        <w:spacing w:after="120" w:line="276" w:lineRule="auto"/>
        <w:ind w:left="1560" w:hanging="426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uwzględnianiu w planowaniu przestrzennym modelowych wzorców rozwojowych jednostek osadniczych, przeciwdziałających amorficznemu, niekontrolowanemu przyrostowi zagospodarowania,</w:t>
      </w:r>
    </w:p>
    <w:p w14:paraId="2A9FF40E" w14:textId="388FF561" w:rsidR="0048389E" w:rsidRPr="0010230C" w:rsidRDefault="002D3F91" w:rsidP="005F061F">
      <w:pPr>
        <w:pStyle w:val="Akapitzlist"/>
        <w:numPr>
          <w:ilvl w:val="2"/>
          <w:numId w:val="18"/>
        </w:numPr>
        <w:spacing w:after="120" w:line="276" w:lineRule="auto"/>
        <w:ind w:left="1560" w:hanging="426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domykaniu granic zainwestowania, tzn. wyznaczaniu obszarów rozwojowych tak, aby ekspansja zainwestowania na każdym etapie kształtowała czytelną krawędź pomiędzy terenami zainwestowanymi i terenami otwartymi, i zapewniała budowę </w:t>
      </w:r>
      <w:r w:rsidR="0048389E" w:rsidRPr="0010230C">
        <w:rPr>
          <w:rFonts w:ascii="Arial" w:hAnsi="Arial" w:cs="Arial"/>
          <w:szCs w:val="24"/>
        </w:rPr>
        <w:t>całościowych, kompaktowych struktur,</w:t>
      </w:r>
    </w:p>
    <w:p w14:paraId="3C8C684D" w14:textId="5A8C3595" w:rsidR="0048389E" w:rsidRPr="0010230C" w:rsidRDefault="0048389E" w:rsidP="005F061F">
      <w:pPr>
        <w:pStyle w:val="Akapitzlist"/>
        <w:numPr>
          <w:ilvl w:val="2"/>
          <w:numId w:val="18"/>
        </w:numPr>
        <w:spacing w:after="120" w:line="276" w:lineRule="auto"/>
        <w:ind w:left="1559" w:hanging="425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unikaniu pasmowego rozwoju zabudowy wzdłuż głównych, tranzytowych ciągów komunikacyjnych (zasada 1.1.5.);</w:t>
      </w:r>
    </w:p>
    <w:p w14:paraId="3424FC5C" w14:textId="4115B9CA" w:rsidR="00BC5E43" w:rsidRPr="0010230C" w:rsidRDefault="002D3F91" w:rsidP="005F061F">
      <w:pPr>
        <w:pStyle w:val="Akapitzlist"/>
        <w:numPr>
          <w:ilvl w:val="1"/>
          <w:numId w:val="19"/>
        </w:numPr>
        <w:spacing w:line="276" w:lineRule="auto"/>
        <w:ind w:left="1134" w:hanging="28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etapowania kompleksowego rozwoju jednostek osadniczych dla konkretnej, docelowej liczby mieszkańców, dla której możliwe będzie zaprogramowanie i zapewnienie odpowiedniej obsługi, polegająca na</w:t>
      </w:r>
      <w:r w:rsidR="00CF77AB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>koordynacji rozwoju osadnictwa z realnymi możliwościami:</w:t>
      </w:r>
    </w:p>
    <w:p w14:paraId="09F215CA" w14:textId="77777777" w:rsidR="00BC5E43" w:rsidRPr="0010230C" w:rsidRDefault="002D3F91" w:rsidP="005F061F">
      <w:pPr>
        <w:pStyle w:val="Akapitzlist"/>
        <w:numPr>
          <w:ilvl w:val="2"/>
          <w:numId w:val="19"/>
        </w:numPr>
        <w:spacing w:after="120" w:line="276" w:lineRule="auto"/>
        <w:ind w:left="1560" w:hanging="425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wypełnienia zaplanowanych struktur przestrzennych w określonym czasie (szacowanymi na podstawie szczegółowej analizy trendów demograficznych, w tym migracyjnych);</w:t>
      </w:r>
    </w:p>
    <w:p w14:paraId="273A9AFC" w14:textId="77777777" w:rsidR="00BC5E43" w:rsidRPr="0010230C" w:rsidRDefault="002D3F91" w:rsidP="005F061F">
      <w:pPr>
        <w:pStyle w:val="Akapitzlist"/>
        <w:numPr>
          <w:ilvl w:val="2"/>
          <w:numId w:val="19"/>
        </w:numPr>
        <w:spacing w:after="0" w:line="276" w:lineRule="auto"/>
        <w:ind w:left="1560" w:hanging="425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rozbudowy istniejącej infrastruktury (na podstawie analizy planów inwestycyjnych operatorów mediów i zdolności finansowych gminy), w zakresie:</w:t>
      </w:r>
    </w:p>
    <w:p w14:paraId="0E587CA8" w14:textId="77777777" w:rsidR="00BC5E43" w:rsidRPr="0010230C" w:rsidRDefault="002D3F91" w:rsidP="005F061F">
      <w:pPr>
        <w:numPr>
          <w:ilvl w:val="3"/>
          <w:numId w:val="19"/>
        </w:numPr>
        <w:spacing w:line="276" w:lineRule="auto"/>
        <w:ind w:hanging="368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infrastruktury technicznej (ze szczególnym uwzględnieniem zapewnienia dostaw energii elektrycznej oraz odprowadzenia ścieków w ramach zasięgu aglomeracji ściekowych),</w:t>
      </w:r>
    </w:p>
    <w:p w14:paraId="73B2FAF7" w14:textId="77777777" w:rsidR="00BC5E43" w:rsidRPr="0010230C" w:rsidRDefault="002D3F91" w:rsidP="005F061F">
      <w:pPr>
        <w:numPr>
          <w:ilvl w:val="3"/>
          <w:numId w:val="19"/>
        </w:numPr>
        <w:spacing w:line="276" w:lineRule="auto"/>
        <w:ind w:hanging="368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systemów transportowych (ze szczególnym uwzględnieniem transportu zbiorowego),</w:t>
      </w:r>
    </w:p>
    <w:p w14:paraId="6F4C7D2E" w14:textId="4047EDBC" w:rsidR="00BD3F5D" w:rsidRPr="0010230C" w:rsidRDefault="002D3F91" w:rsidP="005F061F">
      <w:pPr>
        <w:numPr>
          <w:ilvl w:val="3"/>
          <w:numId w:val="19"/>
        </w:numPr>
        <w:spacing w:after="120" w:line="276" w:lineRule="auto"/>
        <w:ind w:hanging="368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lastRenderedPageBreak/>
        <w:t>podstawowych usług i przestrzeni publicznych (w tym terenów zieleni i przestrzeni otwartych) (zasada 1.1.7.);</w:t>
      </w:r>
    </w:p>
    <w:p w14:paraId="68000DEA" w14:textId="77777777" w:rsidR="00BC5E43" w:rsidRPr="0010230C" w:rsidRDefault="002D3F91" w:rsidP="0047538E">
      <w:pPr>
        <w:pStyle w:val="Styl50"/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kształtowania wysokiej jakości środowiska mieszkaniowego:</w:t>
      </w:r>
    </w:p>
    <w:p w14:paraId="6522C124" w14:textId="77777777" w:rsidR="00BC5E43" w:rsidRPr="0010230C" w:rsidRDefault="002D3F91" w:rsidP="005F061F">
      <w:pPr>
        <w:pStyle w:val="Akapitzlist"/>
        <w:numPr>
          <w:ilvl w:val="1"/>
          <w:numId w:val="20"/>
        </w:numPr>
        <w:spacing w:line="276" w:lineRule="auto"/>
        <w:ind w:left="1134" w:hanging="28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zapewnienia odpowiedniej dostępności terenów mieszkaniowych do:</w:t>
      </w:r>
    </w:p>
    <w:p w14:paraId="01587AF1" w14:textId="3AC64878" w:rsidR="00BC5E43" w:rsidRPr="0010230C" w:rsidRDefault="002D3F91" w:rsidP="005F061F">
      <w:pPr>
        <w:pStyle w:val="Akapitzlist"/>
        <w:numPr>
          <w:ilvl w:val="2"/>
          <w:numId w:val="20"/>
        </w:numPr>
        <w:spacing w:line="276" w:lineRule="auto"/>
        <w:ind w:left="1560" w:hanging="397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podstawowych usług publicznych,</w:t>
      </w:r>
    </w:p>
    <w:p w14:paraId="3A712281" w14:textId="77777777" w:rsidR="00BC5E43" w:rsidRPr="0010230C" w:rsidRDefault="002D3F91" w:rsidP="005F061F">
      <w:pPr>
        <w:pStyle w:val="Akapitzlist"/>
        <w:numPr>
          <w:ilvl w:val="2"/>
          <w:numId w:val="20"/>
        </w:numPr>
        <w:tabs>
          <w:tab w:val="left" w:pos="1276"/>
        </w:tabs>
        <w:spacing w:line="276" w:lineRule="auto"/>
        <w:ind w:left="1560" w:hanging="397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transportu zbiorowego,</w:t>
      </w:r>
    </w:p>
    <w:p w14:paraId="21457620" w14:textId="77777777" w:rsidR="00BC5E43" w:rsidRPr="0010230C" w:rsidRDefault="002D3F91" w:rsidP="005F061F">
      <w:pPr>
        <w:pStyle w:val="Akapitzlist"/>
        <w:numPr>
          <w:ilvl w:val="2"/>
          <w:numId w:val="20"/>
        </w:numPr>
        <w:tabs>
          <w:tab w:val="left" w:pos="1276"/>
        </w:tabs>
        <w:spacing w:after="0" w:line="276" w:lineRule="auto"/>
        <w:ind w:left="1560" w:hanging="397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przestrzeni publicznych, w tym otwartych;</w:t>
      </w:r>
    </w:p>
    <w:p w14:paraId="00D15E9A" w14:textId="77777777" w:rsidR="00BC5E43" w:rsidRPr="0010230C" w:rsidRDefault="002D3F91" w:rsidP="0047538E">
      <w:pPr>
        <w:pStyle w:val="Akapitzlist"/>
        <w:spacing w:after="120" w:line="276" w:lineRule="auto"/>
        <w:ind w:left="1134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przy czym przez odpowiednią dostępność należy rozumieć wzajemne rozmieszczenie funkcji mieszkaniowych oraz funkcji związanych z ich bezpośrednią obsługą, zapewniające dojście piesze i dojazd rowerem w sposób: bezpieczny oraz możliwie najkrótszy (zasada 1.2.1.);</w:t>
      </w:r>
    </w:p>
    <w:p w14:paraId="7B26FD87" w14:textId="77777777" w:rsidR="00BC5E43" w:rsidRPr="0010230C" w:rsidRDefault="002D3F91" w:rsidP="005F061F">
      <w:pPr>
        <w:pStyle w:val="Akapitzlist"/>
        <w:numPr>
          <w:ilvl w:val="1"/>
          <w:numId w:val="20"/>
        </w:numPr>
        <w:spacing w:after="120" w:line="276" w:lineRule="auto"/>
        <w:ind w:left="1134" w:hanging="28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określania w planowaniu lokalnym standardów dostępności przestrzennej do podstawowych usług publicznych jako obowiązującego programu zagospodarowania terenów mieszkaniowych, określającego rezerwę terenową dla potrzeb lokalizacji tych usług, proporcjonalną do liczby ludności w zasięgu ich obsługi (zasada 1.2.2.);</w:t>
      </w:r>
    </w:p>
    <w:p w14:paraId="2164ACC8" w14:textId="6A379673" w:rsidR="00BC5E43" w:rsidRPr="0010230C" w:rsidRDefault="002D3F91" w:rsidP="005F061F">
      <w:pPr>
        <w:pStyle w:val="Akapitzlist"/>
        <w:widowControl w:val="0"/>
        <w:numPr>
          <w:ilvl w:val="1"/>
          <w:numId w:val="20"/>
        </w:numPr>
        <w:spacing w:after="120" w:line="276" w:lineRule="auto"/>
        <w:ind w:left="1134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zapewnienia odpowiedniej dostępności terenów mieszkaniowych do infrastruktury technicznej (w szczególności do sieci wodociągowej, kanalizacyjnej oraz energetycznej) warunkującej poziom życia zgodny ze współczesnymi standardami cywilizacyjnymi, przy czym</w:t>
      </w:r>
      <w:r w:rsidR="002B4F4E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>w zakresie zaopatrzenia w wodę i</w:t>
      </w:r>
      <w:r w:rsidR="008E7301" w:rsidRPr="0010230C">
        <w:rPr>
          <w:rFonts w:ascii="Arial" w:hAnsi="Arial" w:cs="Arial"/>
          <w:szCs w:val="24"/>
        </w:rPr>
        <w:t> </w:t>
      </w:r>
      <w:r w:rsidRPr="0010230C">
        <w:rPr>
          <w:rFonts w:ascii="Arial" w:hAnsi="Arial" w:cs="Arial"/>
          <w:szCs w:val="24"/>
        </w:rPr>
        <w:t>odprowadzenia ścieków należy uwzględnić budowę urządzeń służących do zaopatrzenia w wodę realizowaną jednocześnie z rozwiązaniem spraw gospodarki ściekowej, w szczególności poprzez równoczesną budowę systemów kanalizacji zbiorczej i oczyszczalni ścieków (zasada 1.2.3.);</w:t>
      </w:r>
    </w:p>
    <w:p w14:paraId="2E452643" w14:textId="77777777" w:rsidR="00BC5E43" w:rsidRPr="0010230C" w:rsidRDefault="002D3F91" w:rsidP="005F061F">
      <w:pPr>
        <w:pStyle w:val="Styl50"/>
        <w:numPr>
          <w:ilvl w:val="0"/>
          <w:numId w:val="13"/>
        </w:numPr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racjonalizacji rozmieszczenia oraz poprawy dostępności infrastruktury społecznej i usług publicznych w tym zakresie:</w:t>
      </w:r>
    </w:p>
    <w:p w14:paraId="03FA5381" w14:textId="631DE19D" w:rsidR="00F021CD" w:rsidRPr="0010230C" w:rsidRDefault="002D3F91" w:rsidP="005F061F">
      <w:pPr>
        <w:pStyle w:val="Akapitzlist"/>
        <w:numPr>
          <w:ilvl w:val="1"/>
          <w:numId w:val="14"/>
        </w:numPr>
        <w:spacing w:after="120" w:line="276" w:lineRule="auto"/>
        <w:ind w:left="1134" w:hanging="284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realizacji nowych lub dostosowania istniejących obiektów i urządzeń usług publicznych z uwzględnieniem potrzeb wszystkich użytkowników, w tym osób o ograniczonej mobilności i percepcji, zgodnie z wymaganiami projektowania uniwersalnego (zasada 1.3.6.);</w:t>
      </w:r>
    </w:p>
    <w:p w14:paraId="0F3FD24E" w14:textId="5484F7EA" w:rsidR="00BC5E43" w:rsidRPr="0010230C" w:rsidRDefault="00F021CD" w:rsidP="005F061F">
      <w:pPr>
        <w:pStyle w:val="Akapitzlist"/>
        <w:numPr>
          <w:ilvl w:val="0"/>
          <w:numId w:val="23"/>
        </w:numPr>
        <w:spacing w:line="276" w:lineRule="auto"/>
        <w:ind w:left="993"/>
        <w:rPr>
          <w:rFonts w:ascii="Arial" w:eastAsia="CIDFont+F1" w:hAnsi="Arial" w:cs="Arial"/>
          <w:b/>
          <w:szCs w:val="24"/>
        </w:rPr>
      </w:pPr>
      <w:r w:rsidRPr="0010230C">
        <w:rPr>
          <w:rFonts w:ascii="Arial" w:hAnsi="Arial" w:cs="Arial"/>
          <w:b/>
          <w:szCs w:val="24"/>
        </w:rPr>
        <w:t>w za</w:t>
      </w:r>
      <w:r w:rsidR="002D3F91" w:rsidRPr="0010230C">
        <w:rPr>
          <w:rFonts w:ascii="Arial" w:hAnsi="Arial" w:cs="Arial"/>
          <w:b/>
          <w:szCs w:val="24"/>
        </w:rPr>
        <w:t>kresie zapobiegania i ograniczania skutków powodzi oraz innych zagrożeń naturalnych:</w:t>
      </w:r>
    </w:p>
    <w:p w14:paraId="1E73BF33" w14:textId="25FD1FCC" w:rsidR="00BC5E43" w:rsidRPr="0010230C" w:rsidRDefault="002D3F91" w:rsidP="005F061F">
      <w:pPr>
        <w:pStyle w:val="Akapitzlist"/>
        <w:numPr>
          <w:ilvl w:val="1"/>
          <w:numId w:val="23"/>
        </w:numPr>
        <w:spacing w:after="120" w:line="276" w:lineRule="auto"/>
        <w:ind w:left="1134" w:hanging="28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zasadę uwzględniania i określania w lokalnych dokumentach planistycznych rozwiązań opartych na zintegrowanym gospodarowaniu zasobami wodnymi w obrębie zlewni – w oparciu o działy wodne (naturalne granice zlewni niezależnie od podziałów administracyjnych); brak uwzględnienia tej zasady w studium uwarunkowań i kierunków </w:t>
      </w:r>
      <w:r w:rsidRPr="0010230C">
        <w:rPr>
          <w:rFonts w:ascii="Arial" w:hAnsi="Arial" w:cs="Arial"/>
          <w:szCs w:val="24"/>
        </w:rPr>
        <w:lastRenderedPageBreak/>
        <w:t>zagospodarowania przestrzennego gminy</w:t>
      </w:r>
      <w:r w:rsidR="00426868" w:rsidRPr="0010230C">
        <w:rPr>
          <w:rStyle w:val="Odwoanieprzypisudolnego"/>
          <w:rFonts w:ascii="Arial" w:hAnsi="Arial" w:cs="Arial"/>
          <w:szCs w:val="24"/>
        </w:rPr>
        <w:footnoteReference w:id="4"/>
      </w:r>
      <w:r w:rsidRPr="0010230C">
        <w:rPr>
          <w:rFonts w:ascii="Arial" w:hAnsi="Arial" w:cs="Arial"/>
          <w:szCs w:val="24"/>
        </w:rPr>
        <w:t xml:space="preserve"> wymaga indywidualnego uzasadnienia w tym dokumencie (zasada 1.4.7.);</w:t>
      </w:r>
    </w:p>
    <w:p w14:paraId="597AB83B" w14:textId="77777777" w:rsidR="00BC5E43" w:rsidRPr="0010230C" w:rsidRDefault="002D3F91" w:rsidP="005F061F">
      <w:pPr>
        <w:pStyle w:val="Akapitzlist"/>
        <w:numPr>
          <w:ilvl w:val="1"/>
          <w:numId w:val="23"/>
        </w:numPr>
        <w:spacing w:line="276" w:lineRule="auto"/>
        <w:ind w:left="1134" w:hanging="283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wskazywania w gminnych dokumentach planistycznych sposobów podnoszenia retencyjnej pojemności zlewni, jako elementów ochrony przed powodzią i suszą, a w szczególności:</w:t>
      </w:r>
    </w:p>
    <w:p w14:paraId="53FA8BD2" w14:textId="77777777" w:rsidR="00BC5E43" w:rsidRPr="0010230C" w:rsidRDefault="002D3F91" w:rsidP="005F061F">
      <w:pPr>
        <w:pStyle w:val="Akapitzlist"/>
        <w:numPr>
          <w:ilvl w:val="2"/>
          <w:numId w:val="21"/>
        </w:numPr>
        <w:spacing w:after="0" w:line="276" w:lineRule="auto"/>
        <w:ind w:left="1559" w:hanging="425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zwiększenia retencji wodnej w drodze wyznaczania (…) terenów </w:t>
      </w:r>
      <w:proofErr w:type="spellStart"/>
      <w:r w:rsidRPr="0010230C">
        <w:rPr>
          <w:rFonts w:ascii="Arial" w:hAnsi="Arial" w:cs="Arial"/>
          <w:szCs w:val="24"/>
        </w:rPr>
        <w:t>mikroretencji</w:t>
      </w:r>
      <w:proofErr w:type="spellEnd"/>
      <w:r w:rsidRPr="0010230C">
        <w:rPr>
          <w:rFonts w:ascii="Arial" w:hAnsi="Arial" w:cs="Arial"/>
          <w:szCs w:val="24"/>
        </w:rPr>
        <w:t xml:space="preserve"> obszarowej i </w:t>
      </w:r>
      <w:proofErr w:type="spellStart"/>
      <w:r w:rsidRPr="0010230C">
        <w:rPr>
          <w:rFonts w:ascii="Arial" w:hAnsi="Arial" w:cs="Arial"/>
          <w:szCs w:val="24"/>
        </w:rPr>
        <w:t>przyobiektowej</w:t>
      </w:r>
      <w:proofErr w:type="spellEnd"/>
      <w:r w:rsidRPr="0010230C">
        <w:rPr>
          <w:rFonts w:ascii="Arial" w:hAnsi="Arial" w:cs="Arial"/>
          <w:szCs w:val="24"/>
        </w:rPr>
        <w:t>,</w:t>
      </w:r>
    </w:p>
    <w:p w14:paraId="4DD2CFB4" w14:textId="77777777" w:rsidR="00BC5E43" w:rsidRPr="0010230C" w:rsidRDefault="002D3F91" w:rsidP="005F061F">
      <w:pPr>
        <w:pStyle w:val="Akapitzlist"/>
        <w:numPr>
          <w:ilvl w:val="2"/>
          <w:numId w:val="21"/>
        </w:numPr>
        <w:spacing w:after="0" w:line="276" w:lineRule="auto"/>
        <w:ind w:left="1559" w:hanging="425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maksymalnego zatrzymywania i zagospodarowania wód opadowych </w:t>
      </w:r>
      <w:r w:rsidRPr="0010230C">
        <w:rPr>
          <w:rFonts w:ascii="Arial" w:hAnsi="Arial" w:cs="Arial"/>
          <w:szCs w:val="24"/>
        </w:rPr>
        <w:br/>
        <w:t>i roztopowych w miejscu opadu,</w:t>
      </w:r>
    </w:p>
    <w:p w14:paraId="2B77131E" w14:textId="77777777" w:rsidR="00BC5E43" w:rsidRPr="0010230C" w:rsidRDefault="002D3F91" w:rsidP="005F061F">
      <w:pPr>
        <w:pStyle w:val="Akapitzlist"/>
        <w:numPr>
          <w:ilvl w:val="2"/>
          <w:numId w:val="21"/>
        </w:numPr>
        <w:spacing w:after="120" w:line="276" w:lineRule="auto"/>
        <w:ind w:left="1559" w:hanging="425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przeciwdziałania nadmiernemu uszczelnianiu terenów zurbanizowanych (zasada 1.4.9.);</w:t>
      </w:r>
    </w:p>
    <w:p w14:paraId="20A38851" w14:textId="6FD2596C" w:rsidR="0063649B" w:rsidRPr="0010230C" w:rsidRDefault="0063649B" w:rsidP="005F061F">
      <w:pPr>
        <w:pStyle w:val="Styl50"/>
        <w:numPr>
          <w:ilvl w:val="0"/>
          <w:numId w:val="15"/>
        </w:numPr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efektywnego i bezpiecznego wykorzystania zasobów przestrzeni przez gospodarkę:</w:t>
      </w:r>
    </w:p>
    <w:p w14:paraId="46A8C45D" w14:textId="5FED6BF1" w:rsidR="0063649B" w:rsidRPr="0010230C" w:rsidRDefault="0063649B" w:rsidP="005F061F">
      <w:pPr>
        <w:pStyle w:val="Akapitzlist"/>
        <w:numPr>
          <w:ilvl w:val="1"/>
          <w:numId w:val="36"/>
        </w:numPr>
        <w:ind w:left="1134" w:hanging="283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uwzględniania ograniczeń związanych z położeniem w obszarach ochronnych GZWP, po formalnym ich ustanowieniu (zasada 2.1.15);</w:t>
      </w:r>
    </w:p>
    <w:p w14:paraId="122540DD" w14:textId="5410B95A" w:rsidR="00BC5E43" w:rsidRPr="0010230C" w:rsidRDefault="002D3F91" w:rsidP="005F061F">
      <w:pPr>
        <w:pStyle w:val="Styl50"/>
        <w:numPr>
          <w:ilvl w:val="0"/>
          <w:numId w:val="15"/>
        </w:numPr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wzmacniania całorocznej i atrakcyjnej oferty turystycznej w oparciu o zasoby i walory przyrodniczo-kulturowe, krajobrazowe i funkcje metropolitalne:</w:t>
      </w:r>
    </w:p>
    <w:p w14:paraId="3A362565" w14:textId="77777777" w:rsidR="00BC5E43" w:rsidRPr="0010230C" w:rsidRDefault="002D3F91" w:rsidP="005F061F">
      <w:pPr>
        <w:pStyle w:val="Akapitzlist"/>
        <w:numPr>
          <w:ilvl w:val="1"/>
          <w:numId w:val="25"/>
        </w:numPr>
        <w:spacing w:line="276" w:lineRule="auto"/>
        <w:ind w:left="1134" w:hanging="283"/>
        <w:rPr>
          <w:rFonts w:ascii="Arial" w:hAnsi="Arial" w:cs="Arial"/>
          <w:b/>
          <w:szCs w:val="24"/>
        </w:rPr>
      </w:pPr>
      <w:r w:rsidRPr="0010230C">
        <w:rPr>
          <w:rFonts w:ascii="Arial" w:hAnsi="Arial" w:cs="Arial"/>
          <w:szCs w:val="24"/>
        </w:rPr>
        <w:t>zasadę harmonijnego kształtowania zagospodarowania rekreacyjnego i wypoczynkowego, realizowaną między innymi poprzez:</w:t>
      </w:r>
    </w:p>
    <w:p w14:paraId="4A4555A1" w14:textId="45D92FF5" w:rsidR="00BC5E43" w:rsidRPr="0010230C" w:rsidRDefault="00572845" w:rsidP="005F061F">
      <w:pPr>
        <w:pStyle w:val="Akapitzlist"/>
        <w:numPr>
          <w:ilvl w:val="2"/>
          <w:numId w:val="25"/>
        </w:numPr>
        <w:spacing w:after="0" w:line="276" w:lineRule="auto"/>
        <w:ind w:left="1559" w:hanging="425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uzależnienie rozwoju nowych terenów budownictwa letniskowego od ich wyposażenia w infrastrukturę ochrony środowiska</w:t>
      </w:r>
      <w:r w:rsidR="002D3F91" w:rsidRPr="0010230C">
        <w:rPr>
          <w:rFonts w:ascii="Arial" w:hAnsi="Arial" w:cs="Arial"/>
          <w:szCs w:val="24"/>
        </w:rPr>
        <w:t>,</w:t>
      </w:r>
    </w:p>
    <w:p w14:paraId="60F2D555" w14:textId="77777777" w:rsidR="00BC5E43" w:rsidRPr="0010230C" w:rsidRDefault="002D3F91" w:rsidP="005F061F">
      <w:pPr>
        <w:pStyle w:val="Akapitzlist"/>
        <w:numPr>
          <w:ilvl w:val="2"/>
          <w:numId w:val="25"/>
        </w:numPr>
        <w:spacing w:after="120" w:line="276" w:lineRule="auto"/>
        <w:ind w:left="1559" w:hanging="425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uwzględnienie naturalnych właściwości terenu i ograniczenie negatywnego oddziaływania zagospodarowania rekreacyjnego i jego następstw na zasoby przyrodnicze, kulturowe i krajobrazowe (zasada 2.3.4.);</w:t>
      </w:r>
    </w:p>
    <w:p w14:paraId="48348BD2" w14:textId="22012D0E" w:rsidR="009E3A3A" w:rsidRPr="0010230C" w:rsidRDefault="002D3F91" w:rsidP="005F061F">
      <w:pPr>
        <w:pStyle w:val="Akapitzlist"/>
        <w:numPr>
          <w:ilvl w:val="1"/>
          <w:numId w:val="25"/>
        </w:numPr>
        <w:spacing w:after="0" w:line="276" w:lineRule="auto"/>
        <w:ind w:left="1135" w:hanging="284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kształtowania ponadregionalnych i regionalnych tras rowerowych, na które składa</w:t>
      </w:r>
      <w:r w:rsidR="008E7301" w:rsidRPr="0010230C">
        <w:rPr>
          <w:rFonts w:ascii="Arial" w:hAnsi="Arial" w:cs="Arial"/>
          <w:szCs w:val="24"/>
        </w:rPr>
        <w:t>ją</w:t>
      </w:r>
      <w:r w:rsidR="009034B6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>się między innymi</w:t>
      </w:r>
      <w:r w:rsidR="00DA4A62" w:rsidRPr="0010230C">
        <w:rPr>
          <w:rFonts w:ascii="Arial" w:hAnsi="Arial" w:cs="Arial"/>
          <w:szCs w:val="24"/>
        </w:rPr>
        <w:t xml:space="preserve"> położon</w:t>
      </w:r>
      <w:r w:rsidR="008E7301" w:rsidRPr="0010230C">
        <w:rPr>
          <w:rFonts w:ascii="Arial" w:hAnsi="Arial" w:cs="Arial"/>
          <w:szCs w:val="24"/>
        </w:rPr>
        <w:t>e</w:t>
      </w:r>
      <w:r w:rsidR="00DA4A62" w:rsidRPr="0010230C">
        <w:rPr>
          <w:rFonts w:ascii="Arial" w:hAnsi="Arial" w:cs="Arial"/>
          <w:szCs w:val="24"/>
        </w:rPr>
        <w:t xml:space="preserve"> </w:t>
      </w:r>
      <w:r w:rsidR="00000F83" w:rsidRPr="0010230C">
        <w:rPr>
          <w:rFonts w:ascii="Arial" w:hAnsi="Arial" w:cs="Arial"/>
          <w:szCs w:val="24"/>
        </w:rPr>
        <w:t xml:space="preserve">na terenie </w:t>
      </w:r>
      <w:r w:rsidR="00F622EF" w:rsidRPr="0010230C">
        <w:rPr>
          <w:rFonts w:ascii="Arial" w:hAnsi="Arial" w:cs="Arial"/>
          <w:szCs w:val="24"/>
        </w:rPr>
        <w:t xml:space="preserve">gminy </w:t>
      </w:r>
      <w:r w:rsidR="00000F83" w:rsidRPr="0010230C">
        <w:rPr>
          <w:rFonts w:ascii="Arial" w:hAnsi="Arial" w:cs="Arial"/>
          <w:szCs w:val="24"/>
        </w:rPr>
        <w:t>tras</w:t>
      </w:r>
      <w:r w:rsidR="0073392E" w:rsidRPr="0010230C">
        <w:rPr>
          <w:rFonts w:ascii="Arial" w:hAnsi="Arial" w:cs="Arial"/>
          <w:szCs w:val="24"/>
        </w:rPr>
        <w:t>y</w:t>
      </w:r>
      <w:r w:rsidR="009E3A3A" w:rsidRPr="0010230C">
        <w:rPr>
          <w:rFonts w:ascii="Arial" w:hAnsi="Arial" w:cs="Arial"/>
          <w:szCs w:val="24"/>
        </w:rPr>
        <w:t>:</w:t>
      </w:r>
    </w:p>
    <w:p w14:paraId="29AD5106" w14:textId="6AC12FF5" w:rsidR="009E3A3A" w:rsidRPr="0010230C" w:rsidRDefault="009E3A3A" w:rsidP="005F061F">
      <w:pPr>
        <w:pStyle w:val="Akapitzlist"/>
        <w:numPr>
          <w:ilvl w:val="2"/>
          <w:numId w:val="25"/>
        </w:numPr>
        <w:spacing w:after="0" w:line="276" w:lineRule="auto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(…),</w:t>
      </w:r>
    </w:p>
    <w:p w14:paraId="790A69DC" w14:textId="77777777" w:rsidR="009E3A3A" w:rsidRPr="0010230C" w:rsidRDefault="009E3A3A" w:rsidP="005F061F">
      <w:pPr>
        <w:pStyle w:val="Akapitzlist"/>
        <w:numPr>
          <w:ilvl w:val="2"/>
          <w:numId w:val="25"/>
        </w:numPr>
        <w:spacing w:after="0" w:line="276" w:lineRule="auto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między</w:t>
      </w:r>
      <w:r w:rsidR="00C32718" w:rsidRPr="0010230C">
        <w:rPr>
          <w:rFonts w:ascii="Arial" w:hAnsi="Arial" w:cs="Arial"/>
          <w:szCs w:val="24"/>
        </w:rPr>
        <w:t>regionaln</w:t>
      </w:r>
      <w:r w:rsidRPr="0010230C">
        <w:rPr>
          <w:rFonts w:ascii="Arial" w:hAnsi="Arial" w:cs="Arial"/>
          <w:szCs w:val="24"/>
        </w:rPr>
        <w:t>a</w:t>
      </w:r>
      <w:r w:rsidR="00AB5B28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 xml:space="preserve">nr 12 (Trasa Zamków Polski Północnej), </w:t>
      </w:r>
    </w:p>
    <w:p w14:paraId="5CE0BE83" w14:textId="1325A2C3" w:rsidR="004B0521" w:rsidRPr="0010230C" w:rsidRDefault="009E3A3A" w:rsidP="005F061F">
      <w:pPr>
        <w:pStyle w:val="Akapitzlist"/>
        <w:numPr>
          <w:ilvl w:val="2"/>
          <w:numId w:val="25"/>
        </w:numPr>
        <w:spacing w:after="120" w:line="276" w:lineRule="auto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regionalna </w:t>
      </w:r>
      <w:r w:rsidR="00C32718" w:rsidRPr="0010230C">
        <w:rPr>
          <w:rFonts w:ascii="Arial" w:hAnsi="Arial" w:cs="Arial"/>
          <w:szCs w:val="24"/>
        </w:rPr>
        <w:t>nr</w:t>
      </w:r>
      <w:r w:rsidR="00AB5B28" w:rsidRPr="0010230C">
        <w:rPr>
          <w:rFonts w:ascii="Arial" w:hAnsi="Arial" w:cs="Arial"/>
          <w:szCs w:val="24"/>
        </w:rPr>
        <w:t> </w:t>
      </w:r>
      <w:r w:rsidRPr="0010230C">
        <w:rPr>
          <w:rFonts w:ascii="Arial" w:hAnsi="Arial" w:cs="Arial"/>
          <w:szCs w:val="24"/>
        </w:rPr>
        <w:t xml:space="preserve">128 </w:t>
      </w:r>
      <w:r w:rsidR="002D3F91" w:rsidRPr="0010230C">
        <w:rPr>
          <w:rFonts w:ascii="Arial" w:hAnsi="Arial" w:cs="Arial"/>
          <w:szCs w:val="24"/>
        </w:rPr>
        <w:t>(zasada 2.3.8.);</w:t>
      </w:r>
    </w:p>
    <w:p w14:paraId="408115C8" w14:textId="0277F4AF" w:rsidR="00555BB5" w:rsidRPr="0010230C" w:rsidRDefault="00555BB5" w:rsidP="005F061F">
      <w:pPr>
        <w:pStyle w:val="Akapitzlist"/>
        <w:numPr>
          <w:ilvl w:val="1"/>
          <w:numId w:val="25"/>
        </w:numPr>
        <w:spacing w:after="120" w:line="276" w:lineRule="auto"/>
        <w:ind w:left="1134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kształtowania ponadregionalnych i regionalnych szlaków wodnych</w:t>
      </w:r>
      <w:r w:rsidR="004D6065" w:rsidRPr="0010230C">
        <w:rPr>
          <w:rFonts w:ascii="Arial" w:hAnsi="Arial" w:cs="Arial"/>
          <w:szCs w:val="24"/>
        </w:rPr>
        <w:t>, w</w:t>
      </w:r>
      <w:r w:rsidR="007B42B3" w:rsidRPr="0010230C">
        <w:rPr>
          <w:rFonts w:ascii="Arial" w:hAnsi="Arial" w:cs="Arial"/>
          <w:szCs w:val="24"/>
        </w:rPr>
        <w:t> </w:t>
      </w:r>
      <w:r w:rsidR="004D6065" w:rsidRPr="0010230C">
        <w:rPr>
          <w:rFonts w:ascii="Arial" w:hAnsi="Arial" w:cs="Arial"/>
          <w:szCs w:val="24"/>
        </w:rPr>
        <w:t>tym</w:t>
      </w:r>
      <w:r w:rsidR="000409C1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 xml:space="preserve">śródlądowych kajakowych na systemach rzecznych, </w:t>
      </w:r>
      <w:r w:rsidR="000409C1" w:rsidRPr="0010230C">
        <w:rPr>
          <w:rFonts w:ascii="Arial" w:hAnsi="Arial" w:cs="Arial"/>
          <w:szCs w:val="24"/>
        </w:rPr>
        <w:t>m.in.</w:t>
      </w:r>
      <w:r w:rsidR="000A3F51" w:rsidRPr="0010230C">
        <w:rPr>
          <w:rFonts w:ascii="Arial" w:hAnsi="Arial" w:cs="Arial"/>
          <w:szCs w:val="24"/>
        </w:rPr>
        <w:t xml:space="preserve"> </w:t>
      </w:r>
      <w:r w:rsidR="009E3A3A" w:rsidRPr="0010230C">
        <w:rPr>
          <w:rFonts w:ascii="Arial" w:hAnsi="Arial" w:cs="Arial"/>
          <w:szCs w:val="24"/>
        </w:rPr>
        <w:t>Czernicy</w:t>
      </w:r>
      <w:r w:rsidRPr="0010230C">
        <w:rPr>
          <w:rFonts w:ascii="Arial" w:hAnsi="Arial" w:cs="Arial"/>
          <w:szCs w:val="24"/>
        </w:rPr>
        <w:t xml:space="preserve"> (zasada 2.3.9.);</w:t>
      </w:r>
    </w:p>
    <w:p w14:paraId="5EC04317" w14:textId="504AE7A4" w:rsidR="00180D14" w:rsidRPr="0010230C" w:rsidRDefault="00180D14" w:rsidP="0047538E">
      <w:pPr>
        <w:pStyle w:val="Styl50"/>
        <w:keepLines w:val="0"/>
        <w:spacing w:line="276" w:lineRule="auto"/>
        <w:ind w:left="1134" w:hanging="357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lastRenderedPageBreak/>
        <w:t>w zakresie kształtowania racjonalnej struktury przestrzennej sieci transportowej</w:t>
      </w:r>
      <w:r w:rsidR="00F62B21" w:rsidRPr="0010230C">
        <w:rPr>
          <w:rFonts w:ascii="Arial" w:hAnsi="Arial" w:cs="Arial"/>
          <w:szCs w:val="24"/>
        </w:rPr>
        <w:t>:</w:t>
      </w:r>
    </w:p>
    <w:p w14:paraId="603FA8A4" w14:textId="024DD004" w:rsidR="00F62B21" w:rsidRPr="0010230C" w:rsidRDefault="00F62B21" w:rsidP="005F061F">
      <w:pPr>
        <w:pStyle w:val="Akapitzlist"/>
        <w:keepNext/>
        <w:numPr>
          <w:ilvl w:val="1"/>
          <w:numId w:val="30"/>
        </w:numPr>
        <w:spacing w:line="276" w:lineRule="auto"/>
        <w:ind w:left="1134" w:hanging="283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hierarchizacji sieci dróg ponadregionalnych i regionalnych:</w:t>
      </w:r>
    </w:p>
    <w:p w14:paraId="672CB2B4" w14:textId="69B3D12E" w:rsidR="00F62B21" w:rsidRPr="0010230C" w:rsidRDefault="00F62B21" w:rsidP="005F061F">
      <w:pPr>
        <w:pStyle w:val="Akapitzlist"/>
        <w:numPr>
          <w:ilvl w:val="2"/>
          <w:numId w:val="26"/>
        </w:numPr>
        <w:spacing w:line="276" w:lineRule="auto"/>
        <w:ind w:left="1560" w:hanging="426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według klas określających minimalne wymagania techniczne i przestrzenne usytuowania drogi:</w:t>
      </w:r>
    </w:p>
    <w:p w14:paraId="5C99C971" w14:textId="104D1AA5" w:rsidR="001670F1" w:rsidRPr="0010230C" w:rsidRDefault="001670F1" w:rsidP="00613DEA">
      <w:pPr>
        <w:pStyle w:val="Akapitzlist"/>
        <w:spacing w:line="276" w:lineRule="auto"/>
        <w:ind w:left="1928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(…),</w:t>
      </w:r>
    </w:p>
    <w:p w14:paraId="21879C43" w14:textId="56AE676E" w:rsidR="005177DA" w:rsidRPr="0010230C" w:rsidRDefault="00454E87" w:rsidP="005F061F">
      <w:pPr>
        <w:pStyle w:val="Akapitzlist"/>
        <w:numPr>
          <w:ilvl w:val="3"/>
          <w:numId w:val="37"/>
        </w:numPr>
        <w:spacing w:line="276" w:lineRule="auto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drogi </w:t>
      </w:r>
      <w:r w:rsidR="006B03FF" w:rsidRPr="0010230C">
        <w:rPr>
          <w:rFonts w:ascii="Arial" w:hAnsi="Arial" w:cs="Arial"/>
          <w:szCs w:val="24"/>
        </w:rPr>
        <w:t>zbiorcze</w:t>
      </w:r>
      <w:r w:rsidRPr="0010230C">
        <w:rPr>
          <w:rFonts w:ascii="Arial" w:hAnsi="Arial" w:cs="Arial"/>
          <w:szCs w:val="24"/>
        </w:rPr>
        <w:t xml:space="preserve"> (</w:t>
      </w:r>
      <w:r w:rsidR="006B03FF" w:rsidRPr="0010230C">
        <w:rPr>
          <w:rFonts w:ascii="Arial" w:hAnsi="Arial" w:cs="Arial"/>
          <w:szCs w:val="24"/>
        </w:rPr>
        <w:t>Z</w:t>
      </w:r>
      <w:r w:rsidRPr="0010230C">
        <w:rPr>
          <w:rFonts w:ascii="Arial" w:hAnsi="Arial" w:cs="Arial"/>
          <w:szCs w:val="24"/>
        </w:rPr>
        <w:t xml:space="preserve">) </w:t>
      </w:r>
      <w:r w:rsidR="006B03FF" w:rsidRPr="0010230C">
        <w:rPr>
          <w:rFonts w:ascii="Arial" w:hAnsi="Arial" w:cs="Arial"/>
          <w:szCs w:val="24"/>
        </w:rPr>
        <w:t>–</w:t>
      </w:r>
      <w:r w:rsidRPr="0010230C">
        <w:rPr>
          <w:rFonts w:ascii="Arial" w:hAnsi="Arial" w:cs="Arial"/>
          <w:szCs w:val="24"/>
        </w:rPr>
        <w:t xml:space="preserve"> </w:t>
      </w:r>
      <w:r w:rsidR="006B03FF" w:rsidRPr="0010230C">
        <w:rPr>
          <w:rFonts w:ascii="Arial" w:hAnsi="Arial" w:cs="Arial"/>
          <w:szCs w:val="24"/>
        </w:rPr>
        <w:t>nr 201 i 202</w:t>
      </w:r>
      <w:r w:rsidRPr="0010230C">
        <w:rPr>
          <w:rFonts w:ascii="Arial" w:hAnsi="Arial" w:cs="Arial"/>
          <w:szCs w:val="24"/>
        </w:rPr>
        <w:t>;</w:t>
      </w:r>
    </w:p>
    <w:p w14:paraId="4CD13625" w14:textId="39610FFA" w:rsidR="008C6971" w:rsidRPr="0010230C" w:rsidRDefault="008C6971" w:rsidP="005F061F">
      <w:pPr>
        <w:pStyle w:val="Akapitzlist"/>
        <w:numPr>
          <w:ilvl w:val="2"/>
          <w:numId w:val="26"/>
        </w:numPr>
        <w:spacing w:line="276" w:lineRule="auto"/>
        <w:ind w:left="1560" w:hanging="426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 zachowaniem następujących zasad szczegółowych:</w:t>
      </w:r>
    </w:p>
    <w:p w14:paraId="5B0AD6C3" w14:textId="1BD217DD" w:rsidR="008C6971" w:rsidRPr="0010230C" w:rsidRDefault="00A86038" w:rsidP="005F061F">
      <w:pPr>
        <w:pStyle w:val="Akapitzlist"/>
        <w:numPr>
          <w:ilvl w:val="3"/>
          <w:numId w:val="26"/>
        </w:numPr>
        <w:spacing w:after="0" w:line="276" w:lineRule="auto"/>
        <w:ind w:hanging="369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dla dróg klasy G i Z na wniosek zarządcy drogi można przyjąć wyższą klasę</w:t>
      </w:r>
      <w:r w:rsidR="008C6971" w:rsidRPr="0010230C">
        <w:rPr>
          <w:rFonts w:ascii="Arial" w:hAnsi="Arial" w:cs="Arial"/>
          <w:szCs w:val="24"/>
        </w:rPr>
        <w:t>,</w:t>
      </w:r>
    </w:p>
    <w:p w14:paraId="7CA83573" w14:textId="77777777" w:rsidR="006B03FF" w:rsidRPr="0010230C" w:rsidRDefault="008C6971" w:rsidP="005F061F">
      <w:pPr>
        <w:pStyle w:val="Akapitzlist"/>
        <w:numPr>
          <w:ilvl w:val="3"/>
          <w:numId w:val="26"/>
        </w:numPr>
        <w:spacing w:after="0" w:line="276" w:lineRule="auto"/>
        <w:ind w:hanging="369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w przypadku zmiany przebiegu drogi (np. po wybudowaniu obwodnicy) ważność połączenia należy przenieść na odcinek o nowym przebiegu, </w:t>
      </w:r>
      <w:r w:rsidR="004A41C9" w:rsidRPr="0010230C">
        <w:rPr>
          <w:rFonts w:ascii="Arial" w:hAnsi="Arial" w:cs="Arial"/>
          <w:szCs w:val="24"/>
        </w:rPr>
        <w:t>a </w:t>
      </w:r>
      <w:r w:rsidRPr="0010230C">
        <w:rPr>
          <w:rFonts w:ascii="Arial" w:hAnsi="Arial" w:cs="Arial"/>
          <w:szCs w:val="24"/>
        </w:rPr>
        <w:t>na odcinku o dotychczasowym przebiegu dokonać korekty klasy drogi w dostosowaniu do jej rzeczywistego charakteru i standardu technicznego (np. zmiana klasy G na Z</w:t>
      </w:r>
      <w:r w:rsidR="00B82AC7" w:rsidRPr="0010230C">
        <w:rPr>
          <w:rFonts w:ascii="Arial" w:hAnsi="Arial" w:cs="Arial"/>
          <w:szCs w:val="24"/>
        </w:rPr>
        <w:t>)</w:t>
      </w:r>
      <w:r w:rsidR="006B03FF" w:rsidRPr="0010230C">
        <w:rPr>
          <w:rFonts w:ascii="Arial" w:hAnsi="Arial" w:cs="Arial"/>
          <w:szCs w:val="24"/>
        </w:rPr>
        <w:t>,</w:t>
      </w:r>
    </w:p>
    <w:p w14:paraId="38BBEACD" w14:textId="03B4421F" w:rsidR="008C6971" w:rsidRPr="0010230C" w:rsidRDefault="006B03FF" w:rsidP="005F061F">
      <w:pPr>
        <w:pStyle w:val="Akapitzlist"/>
        <w:numPr>
          <w:ilvl w:val="3"/>
          <w:numId w:val="26"/>
        </w:numPr>
        <w:spacing w:after="120" w:line="276" w:lineRule="auto"/>
        <w:ind w:hanging="369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dla dróg wojewódzkich położonych na granicy dwóch województw obowiązuje klasa drogi ustalona w województwie, na terenie którego znajduje się dłuższy odcinek tej drogi.</w:t>
      </w:r>
      <w:r w:rsidR="00B27E44" w:rsidRPr="0010230C">
        <w:rPr>
          <w:rFonts w:ascii="Arial" w:hAnsi="Arial" w:cs="Arial"/>
          <w:szCs w:val="24"/>
        </w:rPr>
        <w:t xml:space="preserve"> (zasada 2.4.4.)</w:t>
      </w:r>
      <w:r w:rsidR="002F3E0F" w:rsidRPr="0010230C">
        <w:rPr>
          <w:rFonts w:ascii="Arial" w:hAnsi="Arial" w:cs="Arial"/>
          <w:szCs w:val="24"/>
        </w:rPr>
        <w:t>;</w:t>
      </w:r>
    </w:p>
    <w:p w14:paraId="21D966A9" w14:textId="25AF051B" w:rsidR="00BC5E43" w:rsidRPr="0010230C" w:rsidRDefault="002D3F91" w:rsidP="0047538E">
      <w:pPr>
        <w:pStyle w:val="Styl50"/>
        <w:keepNext w:val="0"/>
        <w:keepLines w:val="0"/>
        <w:spacing w:line="276" w:lineRule="auto"/>
        <w:ind w:left="1134" w:hanging="357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zwiększania stopnia bezpieczeństwa energetycznego i sprawności systemów produkcji, przesyłu i dystrybucji energii elektrycznej i cieplnej, gazu, ropy naftowej oraz produktów ropopochodnych:</w:t>
      </w:r>
    </w:p>
    <w:p w14:paraId="2C442BCD" w14:textId="17B9223A" w:rsidR="00BC5E43" w:rsidRPr="0010230C" w:rsidRDefault="002D3F91" w:rsidP="005F061F">
      <w:pPr>
        <w:pStyle w:val="Akapitzlist"/>
        <w:numPr>
          <w:ilvl w:val="1"/>
          <w:numId w:val="27"/>
        </w:numPr>
        <w:spacing w:after="120" w:line="276" w:lineRule="auto"/>
        <w:ind w:left="1134" w:hanging="284"/>
        <w:contextualSpacing w:val="0"/>
        <w:rPr>
          <w:rFonts w:ascii="Arial" w:hAnsi="Arial" w:cs="Arial"/>
          <w:b/>
          <w:szCs w:val="24"/>
        </w:rPr>
      </w:pPr>
      <w:r w:rsidRPr="0010230C">
        <w:rPr>
          <w:rFonts w:ascii="Arial" w:hAnsi="Arial" w:cs="Arial"/>
          <w:szCs w:val="24"/>
        </w:rPr>
        <w:t>zasadę rozmieszczenia obszarów pod lokalizację biogazowni (z wyłączeniem biogazowni rolniczych) o mocy powyżej 0,5 MW, z uwzględnieniem ich strefy ochronnej o szerokości nie mniejszej niż 300 metrów od istniejącej i planowanej zabudowy mieszkaniowej, z uwzględnieniem warunków wietrznych. Każde odstępstwo (in minus) od wyżej określonej odległości wymaga indywidualnego uzasadnienia w studium uwarunkowań i kierunków zagospodarowania przestrzennego gminy</w:t>
      </w:r>
      <w:r w:rsidR="004C4E7A" w:rsidRPr="0010230C">
        <w:rPr>
          <w:rStyle w:val="Odwoanieprzypisudolnego"/>
          <w:rFonts w:ascii="Arial" w:hAnsi="Arial" w:cs="Arial"/>
          <w:szCs w:val="24"/>
        </w:rPr>
        <w:footnoteReference w:id="5"/>
      </w:r>
      <w:r w:rsidRPr="0010230C">
        <w:rPr>
          <w:rFonts w:ascii="Arial" w:hAnsi="Arial" w:cs="Arial"/>
          <w:szCs w:val="24"/>
        </w:rPr>
        <w:t xml:space="preserve"> (zasada 2.5.4.);</w:t>
      </w:r>
    </w:p>
    <w:p w14:paraId="194744D1" w14:textId="5728697C" w:rsidR="00E72BD3" w:rsidRPr="0010230C" w:rsidRDefault="00E72BD3" w:rsidP="005F061F">
      <w:pPr>
        <w:pStyle w:val="Styl50"/>
        <w:numPr>
          <w:ilvl w:val="0"/>
          <w:numId w:val="16"/>
        </w:numPr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 zakresie kształtowania struktur przestrzennych wspierających zdolności obronne państwa:</w:t>
      </w:r>
    </w:p>
    <w:p w14:paraId="0C853EE5" w14:textId="0790882C" w:rsidR="005056E3" w:rsidRPr="0010230C" w:rsidRDefault="00E72BD3" w:rsidP="005F061F">
      <w:pPr>
        <w:pStyle w:val="Akapitzlist"/>
        <w:numPr>
          <w:ilvl w:val="1"/>
          <w:numId w:val="37"/>
        </w:numPr>
        <w:ind w:left="1134" w:hanging="283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bezwzględnego zachowania i ochrony terenów i obiektów służących potrzebom obronności i bezpieczeństwa państwa</w:t>
      </w:r>
      <w:r w:rsidR="00F622EF" w:rsidRPr="0010230C">
        <w:rPr>
          <w:rFonts w:ascii="Arial" w:hAnsi="Arial" w:cs="Arial"/>
          <w:szCs w:val="24"/>
        </w:rPr>
        <w:t>,</w:t>
      </w:r>
      <w:r w:rsidRPr="0010230C">
        <w:rPr>
          <w:rFonts w:ascii="Arial" w:hAnsi="Arial" w:cs="Arial"/>
          <w:szCs w:val="24"/>
        </w:rPr>
        <w:t xml:space="preserve"> na które składają się w szczególności:</w:t>
      </w:r>
    </w:p>
    <w:p w14:paraId="52165A17" w14:textId="77777777" w:rsidR="005056E3" w:rsidRPr="0010230C" w:rsidRDefault="005056E3" w:rsidP="005056E3">
      <w:pPr>
        <w:pStyle w:val="Akapitzlist"/>
        <w:ind w:left="1588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(…),</w:t>
      </w:r>
    </w:p>
    <w:p w14:paraId="3EF031D0" w14:textId="781046AA" w:rsidR="00E72BD3" w:rsidRPr="0010230C" w:rsidRDefault="005056E3" w:rsidP="005F061F">
      <w:pPr>
        <w:pStyle w:val="Akapitzlist"/>
        <w:numPr>
          <w:ilvl w:val="2"/>
          <w:numId w:val="38"/>
        </w:numPr>
        <w:ind w:hanging="45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pozostałe tereny zamknięte oraz elementy infrastruktury transportowej</w:t>
      </w:r>
      <w:r w:rsidR="00E72BD3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>(zasada 2.6.3.);</w:t>
      </w:r>
    </w:p>
    <w:p w14:paraId="4E51191C" w14:textId="0A05BD99" w:rsidR="00BC5E43" w:rsidRPr="0010230C" w:rsidRDefault="002D3F91" w:rsidP="005F061F">
      <w:pPr>
        <w:pStyle w:val="Styl50"/>
        <w:numPr>
          <w:ilvl w:val="0"/>
          <w:numId w:val="16"/>
        </w:numPr>
        <w:spacing w:line="276" w:lineRule="auto"/>
        <w:ind w:left="1134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lastRenderedPageBreak/>
        <w:t>w zakresie zachowania i odtwarzania zasobów środowiska przyrodniczego i jego spójności:</w:t>
      </w:r>
    </w:p>
    <w:p w14:paraId="0F6BF8CF" w14:textId="77777777" w:rsidR="00F879C0" w:rsidRPr="0010230C" w:rsidRDefault="002D3F91" w:rsidP="005F061F">
      <w:pPr>
        <w:pStyle w:val="Akapitzlist"/>
        <w:numPr>
          <w:ilvl w:val="1"/>
          <w:numId w:val="28"/>
        </w:numPr>
        <w:spacing w:after="0" w:line="276" w:lineRule="auto"/>
        <w:ind w:left="1134" w:hanging="283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zasadę zachowania i kształtowania spójności regionalnego systemu ekologicznego, w skład którego wchodzą istniejące obszary chronione oraz obszary potencjalne do objęcia ochroną (cenne przyrodniczo), a także system płatów i korytarzy ekologicznych, </w:t>
      </w:r>
      <w:r w:rsidR="00541587" w:rsidRPr="0010230C">
        <w:rPr>
          <w:rFonts w:ascii="Arial" w:hAnsi="Arial" w:cs="Arial"/>
          <w:szCs w:val="24"/>
        </w:rPr>
        <w:t xml:space="preserve">na </w:t>
      </w:r>
      <w:r w:rsidRPr="0010230C">
        <w:rPr>
          <w:rFonts w:ascii="Arial" w:hAnsi="Arial" w:cs="Arial"/>
          <w:szCs w:val="24"/>
        </w:rPr>
        <w:t xml:space="preserve">który </w:t>
      </w:r>
      <w:r w:rsidR="00541587" w:rsidRPr="0010230C">
        <w:rPr>
          <w:rFonts w:ascii="Arial" w:hAnsi="Arial" w:cs="Arial"/>
          <w:szCs w:val="24"/>
        </w:rPr>
        <w:t>składa</w:t>
      </w:r>
      <w:r w:rsidR="00C24CD3" w:rsidRPr="0010230C">
        <w:rPr>
          <w:rFonts w:ascii="Arial" w:hAnsi="Arial" w:cs="Arial"/>
          <w:szCs w:val="24"/>
        </w:rPr>
        <w:t>ją</w:t>
      </w:r>
      <w:r w:rsidR="00902CF0" w:rsidRPr="0010230C">
        <w:rPr>
          <w:rFonts w:ascii="Arial" w:hAnsi="Arial" w:cs="Arial"/>
          <w:szCs w:val="24"/>
        </w:rPr>
        <w:t xml:space="preserve"> </w:t>
      </w:r>
      <w:r w:rsidR="007D35AC" w:rsidRPr="0010230C">
        <w:rPr>
          <w:rFonts w:ascii="Arial" w:hAnsi="Arial" w:cs="Arial"/>
          <w:szCs w:val="24"/>
        </w:rPr>
        <w:t>się m. in</w:t>
      </w:r>
      <w:r w:rsidR="00902CF0" w:rsidRPr="0010230C">
        <w:rPr>
          <w:rFonts w:ascii="Arial" w:hAnsi="Arial" w:cs="Arial"/>
          <w:szCs w:val="24"/>
        </w:rPr>
        <w:t>.</w:t>
      </w:r>
      <w:r w:rsidR="00C24CD3" w:rsidRPr="0010230C">
        <w:rPr>
          <w:rFonts w:ascii="Arial" w:hAnsi="Arial" w:cs="Arial"/>
          <w:szCs w:val="24"/>
        </w:rPr>
        <w:t>:</w:t>
      </w:r>
    </w:p>
    <w:p w14:paraId="24F8AE1F" w14:textId="2BBDA115" w:rsidR="005876E4" w:rsidRPr="0010230C" w:rsidRDefault="00F879C0" w:rsidP="005F061F">
      <w:pPr>
        <w:pStyle w:val="Akapitzlist"/>
        <w:numPr>
          <w:ilvl w:val="2"/>
          <w:numId w:val="28"/>
        </w:numPr>
        <w:spacing w:after="0" w:line="276" w:lineRule="auto"/>
        <w:ind w:hanging="454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korytarz</w:t>
      </w:r>
      <w:r w:rsidR="00781A50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>ponadregionaln</w:t>
      </w:r>
      <w:r w:rsidR="00781A50" w:rsidRPr="0010230C">
        <w:rPr>
          <w:rFonts w:ascii="Arial" w:hAnsi="Arial" w:cs="Arial"/>
          <w:szCs w:val="24"/>
        </w:rPr>
        <w:t>y</w:t>
      </w:r>
      <w:r w:rsidRPr="0010230C">
        <w:rPr>
          <w:rFonts w:ascii="Arial" w:hAnsi="Arial" w:cs="Arial"/>
          <w:szCs w:val="24"/>
        </w:rPr>
        <w:t xml:space="preserve"> </w:t>
      </w:r>
      <w:r w:rsidR="005876E4" w:rsidRPr="0010230C">
        <w:rPr>
          <w:rFonts w:ascii="Arial" w:hAnsi="Arial" w:cs="Arial"/>
          <w:szCs w:val="24"/>
        </w:rPr>
        <w:t>Doli</w:t>
      </w:r>
      <w:r w:rsidR="00513EB5" w:rsidRPr="0010230C">
        <w:rPr>
          <w:rFonts w:ascii="Arial" w:hAnsi="Arial" w:cs="Arial"/>
          <w:szCs w:val="24"/>
        </w:rPr>
        <w:t>ny Gwdy</w:t>
      </w:r>
      <w:r w:rsidR="00F8461A" w:rsidRPr="0010230C">
        <w:rPr>
          <w:rFonts w:ascii="Arial" w:hAnsi="Arial" w:cs="Arial"/>
          <w:szCs w:val="24"/>
        </w:rPr>
        <w:t>,</w:t>
      </w:r>
    </w:p>
    <w:p w14:paraId="7FFC08E6" w14:textId="6E017DB6" w:rsidR="005876E4" w:rsidRPr="0010230C" w:rsidRDefault="00781A50" w:rsidP="005F061F">
      <w:pPr>
        <w:pStyle w:val="Akapitzlist"/>
        <w:numPr>
          <w:ilvl w:val="2"/>
          <w:numId w:val="28"/>
        </w:numPr>
        <w:spacing w:after="0" w:line="276" w:lineRule="auto"/>
        <w:ind w:hanging="454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korytarz regionaln</w:t>
      </w:r>
      <w:r w:rsidR="00BB679C" w:rsidRPr="0010230C">
        <w:rPr>
          <w:rFonts w:ascii="Arial" w:hAnsi="Arial" w:cs="Arial"/>
          <w:szCs w:val="24"/>
        </w:rPr>
        <w:t xml:space="preserve">y Doliny </w:t>
      </w:r>
      <w:r w:rsidR="00513EB5" w:rsidRPr="0010230C">
        <w:rPr>
          <w:rFonts w:ascii="Arial" w:hAnsi="Arial" w:cs="Arial"/>
          <w:szCs w:val="24"/>
        </w:rPr>
        <w:t>Szczyry</w:t>
      </w:r>
      <w:r w:rsidR="005876E4" w:rsidRPr="0010230C">
        <w:rPr>
          <w:rFonts w:ascii="Arial" w:hAnsi="Arial" w:cs="Arial"/>
          <w:szCs w:val="24"/>
        </w:rPr>
        <w:t>,</w:t>
      </w:r>
    </w:p>
    <w:p w14:paraId="5C0A8E9A" w14:textId="6B38C020" w:rsidR="00BB679C" w:rsidRPr="0010230C" w:rsidRDefault="00513EB5" w:rsidP="005F061F">
      <w:pPr>
        <w:pStyle w:val="Akapitzlist"/>
        <w:numPr>
          <w:ilvl w:val="2"/>
          <w:numId w:val="28"/>
        </w:numPr>
        <w:spacing w:after="0" w:line="276" w:lineRule="auto"/>
        <w:ind w:hanging="454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eastAsia="CIDFont+F1" w:hAnsi="Arial" w:cs="Arial"/>
          <w:szCs w:val="24"/>
        </w:rPr>
        <w:t>(…)</w:t>
      </w:r>
      <w:r w:rsidR="00BB679C" w:rsidRPr="0010230C">
        <w:rPr>
          <w:rFonts w:ascii="Arial" w:eastAsia="CIDFont+F1" w:hAnsi="Arial" w:cs="Arial"/>
          <w:szCs w:val="24"/>
        </w:rPr>
        <w:t>,</w:t>
      </w:r>
    </w:p>
    <w:p w14:paraId="183D2582" w14:textId="456F759F" w:rsidR="00BC5E43" w:rsidRPr="0010230C" w:rsidRDefault="00513EB5" w:rsidP="005F061F">
      <w:pPr>
        <w:pStyle w:val="Akapitzlist"/>
        <w:numPr>
          <w:ilvl w:val="2"/>
          <w:numId w:val="28"/>
        </w:numPr>
        <w:spacing w:after="120" w:line="276" w:lineRule="auto"/>
        <w:ind w:hanging="454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Koczalski </w:t>
      </w:r>
      <w:r w:rsidR="005876E4" w:rsidRPr="0010230C">
        <w:rPr>
          <w:rFonts w:ascii="Arial" w:hAnsi="Arial" w:cs="Arial"/>
          <w:szCs w:val="24"/>
        </w:rPr>
        <w:t>płat ekologiczny</w:t>
      </w:r>
      <w:r w:rsidR="00BB679C" w:rsidRPr="0010230C">
        <w:rPr>
          <w:rFonts w:ascii="Arial" w:hAnsi="Arial" w:cs="Arial"/>
          <w:szCs w:val="24"/>
        </w:rPr>
        <w:t xml:space="preserve"> </w:t>
      </w:r>
      <w:r w:rsidR="002D3F91" w:rsidRPr="0010230C">
        <w:rPr>
          <w:rFonts w:ascii="Arial" w:hAnsi="Arial" w:cs="Arial"/>
          <w:szCs w:val="24"/>
        </w:rPr>
        <w:t>(zasada 3.1.1);</w:t>
      </w:r>
    </w:p>
    <w:p w14:paraId="7BC662A4" w14:textId="0CB3F251" w:rsidR="003F01CA" w:rsidRPr="0010230C" w:rsidRDefault="00E90DC9" w:rsidP="005F061F">
      <w:pPr>
        <w:pStyle w:val="Akapitzlist"/>
        <w:numPr>
          <w:ilvl w:val="0"/>
          <w:numId w:val="6"/>
        </w:numPr>
        <w:spacing w:after="120" w:line="276" w:lineRule="auto"/>
        <w:ind w:left="1134" w:hanging="28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zachowania ciągłości przestrzennej i funkcjonalnej ekosystemów leśnych i dolinnych (</w:t>
      </w:r>
      <w:r w:rsidR="00902CF0" w:rsidRPr="0010230C">
        <w:rPr>
          <w:rFonts w:ascii="Arial" w:hAnsi="Arial" w:cs="Arial"/>
          <w:szCs w:val="24"/>
        </w:rPr>
        <w:t>…</w:t>
      </w:r>
      <w:r w:rsidRPr="0010230C">
        <w:rPr>
          <w:rFonts w:ascii="Arial" w:hAnsi="Arial" w:cs="Arial"/>
          <w:szCs w:val="24"/>
        </w:rPr>
        <w:t xml:space="preserve">) w miejscach przecięcia z infrastrukturą transportową o charakterze barier </w:t>
      </w:r>
      <w:r w:rsidR="00F622EF" w:rsidRPr="0010230C">
        <w:rPr>
          <w:rFonts w:ascii="Arial" w:hAnsi="Arial" w:cs="Arial"/>
          <w:szCs w:val="24"/>
        </w:rPr>
        <w:t>antropogenicznych (</w:t>
      </w:r>
      <w:r w:rsidR="004C764F" w:rsidRPr="0010230C">
        <w:rPr>
          <w:rFonts w:ascii="Arial" w:hAnsi="Arial" w:cs="Arial"/>
          <w:szCs w:val="24"/>
        </w:rPr>
        <w:t xml:space="preserve">…) </w:t>
      </w:r>
      <w:r w:rsidRPr="0010230C">
        <w:rPr>
          <w:rFonts w:ascii="Arial" w:hAnsi="Arial" w:cs="Arial"/>
          <w:szCs w:val="24"/>
        </w:rPr>
        <w:t>za pomocą wyznaczania i budowy przejść dla zwierząt oraz stosowania nietransparentnych ekranów osłonowych na trasach migracji ptaków (zasada 3.1.3.);</w:t>
      </w:r>
    </w:p>
    <w:p w14:paraId="3007FAF1" w14:textId="2F4F9AC1" w:rsidR="00C24CD3" w:rsidRPr="0010230C" w:rsidRDefault="00C24CD3" w:rsidP="005F061F">
      <w:pPr>
        <w:pStyle w:val="Akapitzlist"/>
        <w:numPr>
          <w:ilvl w:val="0"/>
          <w:numId w:val="6"/>
        </w:numPr>
        <w:spacing w:after="120" w:line="276" w:lineRule="auto"/>
        <w:ind w:left="1134" w:hanging="28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bezwzględnego zachowania trwałości gruntów leśnych oraz naturalnych cieków i zbiorników wodnych, w granicach korytarzy ekologicznych, przy zachowaniu ich dotychczasowego gospodarczego wykorzystania, z</w:t>
      </w:r>
      <w:r w:rsidR="00CF66B5" w:rsidRPr="0010230C">
        <w:rPr>
          <w:rFonts w:ascii="Arial" w:hAnsi="Arial" w:cs="Arial"/>
          <w:szCs w:val="24"/>
        </w:rPr>
        <w:t> </w:t>
      </w:r>
      <w:r w:rsidRPr="0010230C">
        <w:rPr>
          <w:rFonts w:ascii="Arial" w:hAnsi="Arial" w:cs="Arial"/>
          <w:szCs w:val="24"/>
        </w:rPr>
        <w:t>uwzględnieniem uzasadnionej potrzeby ich przeznaczenia na cele publiczne (zasada 3.1.4.);</w:t>
      </w:r>
    </w:p>
    <w:p w14:paraId="7A19D127" w14:textId="7E95B0B6" w:rsidR="00BC5E43" w:rsidRPr="0010230C" w:rsidRDefault="002D3F91" w:rsidP="0047538E">
      <w:pPr>
        <w:pStyle w:val="Styl50"/>
        <w:spacing w:line="276" w:lineRule="auto"/>
        <w:ind w:left="1134" w:hanging="426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w zakresie </w:t>
      </w:r>
      <w:r w:rsidRPr="0010230C">
        <w:rPr>
          <w:rFonts w:ascii="Arial" w:eastAsia="Lato,Garamond" w:hAnsi="Arial" w:cs="Arial"/>
          <w:szCs w:val="24"/>
        </w:rPr>
        <w:t>ograniczenia</w:t>
      </w:r>
      <w:r w:rsidRPr="0010230C">
        <w:rPr>
          <w:rFonts w:ascii="Arial" w:hAnsi="Arial" w:cs="Arial"/>
          <w:szCs w:val="24"/>
        </w:rPr>
        <w:t xml:space="preserve"> emisji zanieczyszczeń środowiska:</w:t>
      </w:r>
    </w:p>
    <w:p w14:paraId="186988B2" w14:textId="1763B1C2" w:rsidR="00F02892" w:rsidRPr="0010230C" w:rsidRDefault="002D3F91" w:rsidP="005F061F">
      <w:pPr>
        <w:pStyle w:val="Akapitzlist"/>
        <w:numPr>
          <w:ilvl w:val="0"/>
          <w:numId w:val="7"/>
        </w:numPr>
        <w:spacing w:after="120" w:line="276" w:lineRule="auto"/>
        <w:ind w:left="1134" w:hanging="272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ograniczania stosowania indywidualnych systemów zbierania i oczyszczania ścieków bytowych na obszarach aglomeracji ściekowych (zasada 3.3.1.)</w:t>
      </w:r>
      <w:r w:rsidR="00AA3AFB" w:rsidRPr="0010230C">
        <w:rPr>
          <w:rFonts w:ascii="Arial" w:hAnsi="Arial" w:cs="Arial"/>
          <w:szCs w:val="24"/>
        </w:rPr>
        <w:t>,</w:t>
      </w:r>
    </w:p>
    <w:p w14:paraId="61770320" w14:textId="23ADC332" w:rsidR="00DB02E1" w:rsidRPr="0010230C" w:rsidRDefault="002D3F91" w:rsidP="005F061F">
      <w:pPr>
        <w:pStyle w:val="Akapitzlist"/>
        <w:numPr>
          <w:ilvl w:val="0"/>
          <w:numId w:val="7"/>
        </w:numPr>
        <w:spacing w:after="120" w:line="276" w:lineRule="auto"/>
        <w:ind w:left="1134" w:hanging="272"/>
        <w:contextualSpacing w:val="0"/>
        <w:rPr>
          <w:rFonts w:ascii="Arial" w:eastAsia="CIDFont+F1" w:hAnsi="Arial" w:cs="Arial"/>
          <w:szCs w:val="24"/>
        </w:rPr>
      </w:pPr>
      <w:r w:rsidRPr="0010230C">
        <w:rPr>
          <w:rFonts w:ascii="Arial" w:hAnsi="Arial" w:cs="Arial"/>
          <w:szCs w:val="24"/>
        </w:rPr>
        <w:t>zasadę uwzględniania w dokumentach planistycznych gmin uwarunkowań wynikających z planu gospodarki odpadami dla województwa pomorskiego (zasada 3.3.11.)</w:t>
      </w:r>
      <w:r w:rsidR="004D64EF" w:rsidRPr="0010230C">
        <w:rPr>
          <w:rFonts w:ascii="Arial" w:hAnsi="Arial" w:cs="Arial"/>
          <w:szCs w:val="24"/>
        </w:rPr>
        <w:t>;</w:t>
      </w:r>
    </w:p>
    <w:p w14:paraId="4EF40E47" w14:textId="77777777" w:rsidR="00BC5E43" w:rsidRPr="0010230C" w:rsidRDefault="002D3F91" w:rsidP="0047538E">
      <w:pPr>
        <w:pStyle w:val="Nagwek4"/>
        <w:numPr>
          <w:ilvl w:val="1"/>
          <w:numId w:val="4"/>
        </w:numPr>
        <w:spacing w:after="120" w:line="276" w:lineRule="auto"/>
        <w:ind w:left="709" w:hanging="283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ustalenia w zakresie inwestycji celu publicznego o znaczeniu ponadlokalnym, wynikające z dokumentów przyjętych przez Sejm RP, Radę Ministrów, właściwego ministra lub sejmik województwa (zgodnie z art. 39 ust. 3 pkt 3 i ust. 5):</w:t>
      </w:r>
    </w:p>
    <w:p w14:paraId="03D497FB" w14:textId="77777777" w:rsidR="00BC5E43" w:rsidRPr="0010230C" w:rsidRDefault="002D3F91" w:rsidP="0047538E">
      <w:pPr>
        <w:spacing w:after="120" w:line="276" w:lineRule="auto"/>
        <w:ind w:left="425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Wykaz zadań w postaci inwestycji celu publicznego, w tym zadań samorządu województwa znajduje się w tekście Planu zagospodarowania przestrzennego województwa pomorskiego 2030 (uchwała Nr 318/XXX/16 Sejmiku Województwa Pomorskiego z dnia 29 grudnia 2016 r. - Dz. Urz. Woj. Pom. z 2017 poz. 603) – Załącznik nr 1.</w:t>
      </w:r>
    </w:p>
    <w:p w14:paraId="1D1E3F10" w14:textId="23C1FB8F" w:rsidR="00D200CC" w:rsidRPr="0010230C" w:rsidRDefault="002D3F91" w:rsidP="003200E6">
      <w:pPr>
        <w:spacing w:after="120" w:line="276" w:lineRule="auto"/>
        <w:ind w:left="425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Na obszarze </w:t>
      </w:r>
      <w:r w:rsidR="001E6944" w:rsidRPr="0010230C">
        <w:rPr>
          <w:rFonts w:ascii="Arial" w:hAnsi="Arial" w:cs="Arial"/>
          <w:szCs w:val="24"/>
        </w:rPr>
        <w:t xml:space="preserve">gminy </w:t>
      </w:r>
      <w:r w:rsidR="00DB0249" w:rsidRPr="0010230C">
        <w:rPr>
          <w:rFonts w:ascii="Arial" w:hAnsi="Arial" w:cs="Arial"/>
          <w:szCs w:val="24"/>
        </w:rPr>
        <w:t>Czarne</w:t>
      </w:r>
      <w:r w:rsidR="006642BB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 xml:space="preserve">w obowiązującym Planie zagospodarowania przestrzennego województwa pomorskiego </w:t>
      </w:r>
      <w:r w:rsidR="00982674" w:rsidRPr="0010230C">
        <w:rPr>
          <w:rFonts w:ascii="Arial" w:hAnsi="Arial" w:cs="Arial"/>
          <w:b/>
          <w:bCs/>
          <w:szCs w:val="24"/>
        </w:rPr>
        <w:t>nie</w:t>
      </w:r>
      <w:r w:rsidR="00982674" w:rsidRPr="0010230C">
        <w:rPr>
          <w:rFonts w:ascii="Arial" w:hAnsi="Arial" w:cs="Arial"/>
          <w:szCs w:val="24"/>
        </w:rPr>
        <w:t xml:space="preserve"> </w:t>
      </w:r>
      <w:r w:rsidR="00C52EA3" w:rsidRPr="0010230C">
        <w:rPr>
          <w:rFonts w:ascii="Arial" w:hAnsi="Arial" w:cs="Arial"/>
          <w:b/>
          <w:bCs/>
          <w:szCs w:val="24"/>
        </w:rPr>
        <w:t>został</w:t>
      </w:r>
      <w:r w:rsidR="00506D21" w:rsidRPr="0010230C">
        <w:rPr>
          <w:rFonts w:ascii="Arial" w:hAnsi="Arial" w:cs="Arial"/>
          <w:b/>
          <w:bCs/>
          <w:szCs w:val="24"/>
        </w:rPr>
        <w:t>y</w:t>
      </w:r>
      <w:r w:rsidR="00C52EA3" w:rsidRPr="0010230C">
        <w:rPr>
          <w:rFonts w:ascii="Arial" w:hAnsi="Arial" w:cs="Arial"/>
          <w:b/>
          <w:szCs w:val="24"/>
        </w:rPr>
        <w:t xml:space="preserve"> zlokalizowan</w:t>
      </w:r>
      <w:r w:rsidR="00506D21" w:rsidRPr="0010230C">
        <w:rPr>
          <w:rFonts w:ascii="Arial" w:hAnsi="Arial" w:cs="Arial"/>
          <w:b/>
          <w:szCs w:val="24"/>
        </w:rPr>
        <w:t>e</w:t>
      </w:r>
      <w:r w:rsidR="00C52EA3" w:rsidRPr="0010230C">
        <w:rPr>
          <w:rFonts w:ascii="Arial" w:hAnsi="Arial" w:cs="Arial"/>
          <w:szCs w:val="24"/>
        </w:rPr>
        <w:t xml:space="preserve"> inwestycj</w:t>
      </w:r>
      <w:r w:rsidR="00506D21" w:rsidRPr="0010230C">
        <w:rPr>
          <w:rFonts w:ascii="Arial" w:hAnsi="Arial" w:cs="Arial"/>
          <w:szCs w:val="24"/>
        </w:rPr>
        <w:t>e</w:t>
      </w:r>
      <w:r w:rsidR="00C52EA3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 xml:space="preserve">celu publicznego, </w:t>
      </w:r>
      <w:r w:rsidR="004D64EF" w:rsidRPr="0010230C">
        <w:rPr>
          <w:rFonts w:ascii="Arial" w:hAnsi="Arial" w:cs="Arial"/>
          <w:szCs w:val="24"/>
        </w:rPr>
        <w:t>o </w:t>
      </w:r>
      <w:r w:rsidR="00163C45" w:rsidRPr="0010230C">
        <w:rPr>
          <w:rFonts w:ascii="Arial" w:hAnsi="Arial" w:cs="Arial"/>
          <w:szCs w:val="24"/>
        </w:rPr>
        <w:t>któr</w:t>
      </w:r>
      <w:r w:rsidR="00506D21" w:rsidRPr="0010230C">
        <w:rPr>
          <w:rFonts w:ascii="Arial" w:hAnsi="Arial" w:cs="Arial"/>
          <w:szCs w:val="24"/>
        </w:rPr>
        <w:t>ych</w:t>
      </w:r>
      <w:r w:rsidR="00163C45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 xml:space="preserve">mowa w art.  39 ust. 3 pkt 3 i ust. 5 ww. </w:t>
      </w:r>
      <w:r w:rsidRPr="0010230C">
        <w:rPr>
          <w:rFonts w:ascii="Arial" w:hAnsi="Arial" w:cs="Arial"/>
          <w:szCs w:val="24"/>
        </w:rPr>
        <w:lastRenderedPageBreak/>
        <w:t>ustawy (</w:t>
      </w:r>
      <w:r w:rsidR="00163C45" w:rsidRPr="0010230C">
        <w:rPr>
          <w:rFonts w:ascii="Arial" w:hAnsi="Arial" w:cs="Arial"/>
          <w:szCs w:val="24"/>
        </w:rPr>
        <w:t>wynikając</w:t>
      </w:r>
      <w:r w:rsidR="00506D21" w:rsidRPr="0010230C">
        <w:rPr>
          <w:rFonts w:ascii="Arial" w:hAnsi="Arial" w:cs="Arial"/>
          <w:szCs w:val="24"/>
        </w:rPr>
        <w:t>e</w:t>
      </w:r>
      <w:r w:rsidR="00163C45" w:rsidRPr="0010230C">
        <w:rPr>
          <w:rFonts w:ascii="Arial" w:hAnsi="Arial" w:cs="Arial"/>
          <w:szCs w:val="24"/>
        </w:rPr>
        <w:t xml:space="preserve"> </w:t>
      </w:r>
      <w:r w:rsidRPr="0010230C">
        <w:rPr>
          <w:rFonts w:ascii="Arial" w:hAnsi="Arial" w:cs="Arial"/>
          <w:szCs w:val="24"/>
        </w:rPr>
        <w:t xml:space="preserve">z dokumentów przyjętych przez Sejmik Województwa Pomorskiego), </w:t>
      </w:r>
      <w:r w:rsidR="00C52EA3" w:rsidRPr="0010230C">
        <w:rPr>
          <w:rFonts w:ascii="Arial" w:hAnsi="Arial" w:cs="Arial"/>
          <w:b/>
          <w:bCs/>
          <w:szCs w:val="24"/>
        </w:rPr>
        <w:t>będąc</w:t>
      </w:r>
      <w:r w:rsidR="00506D21" w:rsidRPr="0010230C">
        <w:rPr>
          <w:rFonts w:ascii="Arial" w:hAnsi="Arial" w:cs="Arial"/>
          <w:b/>
          <w:bCs/>
          <w:szCs w:val="24"/>
        </w:rPr>
        <w:t>e</w:t>
      </w:r>
      <w:r w:rsidR="00C52EA3" w:rsidRPr="0010230C">
        <w:rPr>
          <w:rFonts w:ascii="Arial" w:hAnsi="Arial" w:cs="Arial"/>
          <w:b/>
          <w:bCs/>
          <w:szCs w:val="24"/>
        </w:rPr>
        <w:t xml:space="preserve"> </w:t>
      </w:r>
      <w:r w:rsidRPr="0010230C">
        <w:rPr>
          <w:rFonts w:ascii="Arial" w:hAnsi="Arial" w:cs="Arial"/>
          <w:b/>
          <w:bCs/>
          <w:spacing w:val="20"/>
          <w:szCs w:val="24"/>
        </w:rPr>
        <w:t>zadani</w:t>
      </w:r>
      <w:r w:rsidR="00C52EA3" w:rsidRPr="0010230C">
        <w:rPr>
          <w:rFonts w:ascii="Arial" w:hAnsi="Arial" w:cs="Arial"/>
          <w:b/>
          <w:bCs/>
          <w:spacing w:val="20"/>
          <w:szCs w:val="24"/>
        </w:rPr>
        <w:t>em</w:t>
      </w:r>
      <w:r w:rsidRPr="0010230C">
        <w:rPr>
          <w:rFonts w:ascii="Arial" w:hAnsi="Arial" w:cs="Arial"/>
          <w:b/>
          <w:bCs/>
          <w:spacing w:val="20"/>
          <w:szCs w:val="24"/>
        </w:rPr>
        <w:t xml:space="preserve"> samorządu województwa</w:t>
      </w:r>
      <w:r w:rsidRPr="0010230C">
        <w:rPr>
          <w:rStyle w:val="Zakotwiczenieprzypisudolnego"/>
          <w:rFonts w:ascii="Arial" w:hAnsi="Arial" w:cs="Arial"/>
          <w:b/>
          <w:bCs/>
          <w:spacing w:val="20"/>
          <w:szCs w:val="24"/>
        </w:rPr>
        <w:footnoteReference w:id="6"/>
      </w:r>
      <w:r w:rsidR="00E870BB" w:rsidRPr="0010230C">
        <w:rPr>
          <w:rFonts w:ascii="Arial" w:hAnsi="Arial" w:cs="Arial"/>
          <w:szCs w:val="24"/>
        </w:rPr>
        <w:t>.</w:t>
      </w:r>
    </w:p>
    <w:p w14:paraId="148D0EBB" w14:textId="05049D96" w:rsidR="00BC5E43" w:rsidRPr="0010230C" w:rsidRDefault="002D3F91" w:rsidP="00D200CC">
      <w:pPr>
        <w:spacing w:after="0" w:line="276" w:lineRule="auto"/>
        <w:ind w:left="425"/>
        <w:rPr>
          <w:rFonts w:ascii="Arial" w:hAnsi="Arial" w:cs="Arial"/>
          <w:b/>
          <w:bCs/>
          <w:spacing w:val="20"/>
          <w:szCs w:val="24"/>
        </w:rPr>
      </w:pPr>
      <w:r w:rsidRPr="0010230C">
        <w:rPr>
          <w:rFonts w:ascii="Arial" w:hAnsi="Arial" w:cs="Arial"/>
          <w:szCs w:val="24"/>
        </w:rPr>
        <w:t xml:space="preserve">Na obszarze ww. gminy przewiduje się realizację inwestycji celu publicznego o znaczeniu ponadlokalnym, o których mowa w art. 39 ust. 3 pkt 3 i ust. 5 ww. ustawy, </w:t>
      </w:r>
      <w:r w:rsidRPr="0010230C">
        <w:rPr>
          <w:rFonts w:ascii="Arial" w:hAnsi="Arial" w:cs="Arial"/>
          <w:b/>
          <w:bCs/>
          <w:spacing w:val="20"/>
          <w:szCs w:val="24"/>
        </w:rPr>
        <w:t>niebędących zadaniami samorządu województwa</w:t>
      </w:r>
      <w:r w:rsidRPr="0010230C">
        <w:rPr>
          <w:rStyle w:val="Zakotwiczenieprzypisudolnego"/>
          <w:rFonts w:ascii="Arial" w:hAnsi="Arial" w:cs="Arial"/>
          <w:b/>
          <w:bCs/>
          <w:spacing w:val="20"/>
          <w:szCs w:val="24"/>
        </w:rPr>
        <w:footnoteReference w:id="7"/>
      </w:r>
      <w:r w:rsidRPr="0010230C">
        <w:rPr>
          <w:rFonts w:ascii="Arial" w:hAnsi="Arial" w:cs="Arial"/>
          <w:szCs w:val="24"/>
        </w:rPr>
        <w:t>:</w:t>
      </w:r>
    </w:p>
    <w:p w14:paraId="79C688C9" w14:textId="3F1CCE60" w:rsidR="0086285B" w:rsidRPr="0010230C" w:rsidRDefault="000C1CC4" w:rsidP="005F061F">
      <w:pPr>
        <w:numPr>
          <w:ilvl w:val="0"/>
          <w:numId w:val="29"/>
        </w:numPr>
        <w:spacing w:after="120" w:line="276" w:lineRule="auto"/>
        <w:ind w:left="851" w:hanging="425"/>
        <w:rPr>
          <w:rFonts w:ascii="Arial" w:hAnsi="Arial" w:cs="Arial"/>
          <w:b/>
          <w:bCs/>
          <w:szCs w:val="24"/>
        </w:rPr>
      </w:pPr>
      <w:r w:rsidRPr="0010230C">
        <w:rPr>
          <w:rFonts w:ascii="Arial" w:hAnsi="Arial" w:cs="Arial"/>
          <w:szCs w:val="24"/>
        </w:rPr>
        <w:t>Inwestycje wynikające z Planu gospodarki odpadami</w:t>
      </w:r>
      <w:r w:rsidR="0086285B" w:rsidRPr="0010230C">
        <w:rPr>
          <w:rFonts w:ascii="Arial" w:hAnsi="Arial" w:cs="Arial"/>
          <w:szCs w:val="24"/>
        </w:rPr>
        <w:t>,</w:t>
      </w:r>
    </w:p>
    <w:p w14:paraId="0CFBEB48" w14:textId="78EDD327" w:rsidR="00387FED" w:rsidRPr="0010230C" w:rsidRDefault="0086285B" w:rsidP="005F061F">
      <w:pPr>
        <w:numPr>
          <w:ilvl w:val="0"/>
          <w:numId w:val="29"/>
        </w:numPr>
        <w:spacing w:after="120" w:line="276" w:lineRule="auto"/>
        <w:ind w:left="851" w:hanging="425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Kajakiem przez Pomorze - </w:t>
      </w:r>
      <w:bookmarkStart w:id="0" w:name="_GoBack"/>
      <w:bookmarkEnd w:id="0"/>
      <w:r w:rsidRPr="0010230C">
        <w:rPr>
          <w:rFonts w:ascii="Arial" w:hAnsi="Arial" w:cs="Arial"/>
          <w:szCs w:val="24"/>
        </w:rPr>
        <w:t xml:space="preserve">zagospodarowanie szlaków wodnych w województwie pomorskim dla rozwoju turystyki kajakowej – Poprawa bezpieczeństwa na szlakach kajakowych poprzez rozbudowę i poprawę standardu infrastruktury turystycznej, </w:t>
      </w:r>
      <w:r w:rsidR="00CC6AA6" w:rsidRPr="0010230C">
        <w:rPr>
          <w:rFonts w:ascii="Arial" w:hAnsi="Arial" w:cs="Arial"/>
          <w:szCs w:val="24"/>
        </w:rPr>
        <w:t>w </w:t>
      </w:r>
      <w:r w:rsidRPr="0010230C">
        <w:rPr>
          <w:rFonts w:ascii="Arial" w:hAnsi="Arial" w:cs="Arial"/>
          <w:szCs w:val="24"/>
        </w:rPr>
        <w:t>szczególności kajakowej oraz działania promujące tę formę aktywnej turystyki – rz. </w:t>
      </w:r>
      <w:r w:rsidR="00C742EC" w:rsidRPr="0010230C">
        <w:rPr>
          <w:rFonts w:ascii="Arial" w:hAnsi="Arial" w:cs="Arial"/>
          <w:szCs w:val="24"/>
        </w:rPr>
        <w:t>Czernica</w:t>
      </w:r>
      <w:r w:rsidR="00F131EA" w:rsidRPr="0010230C">
        <w:rPr>
          <w:rFonts w:ascii="Arial" w:hAnsi="Arial" w:cs="Arial"/>
          <w:szCs w:val="24"/>
        </w:rPr>
        <w:t>.</w:t>
      </w:r>
    </w:p>
    <w:p w14:paraId="66DAC28E" w14:textId="4645AD12" w:rsidR="00BC5E43" w:rsidRPr="0010230C" w:rsidRDefault="002D3F91" w:rsidP="0047538E">
      <w:pPr>
        <w:pStyle w:val="Nagwek20"/>
        <w:numPr>
          <w:ilvl w:val="0"/>
          <w:numId w:val="3"/>
        </w:numPr>
        <w:tabs>
          <w:tab w:val="clear" w:pos="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Wnosi się o uwzględnienie w </w:t>
      </w:r>
      <w:r w:rsidR="00E15CAD" w:rsidRPr="0010230C">
        <w:rPr>
          <w:rFonts w:ascii="Arial" w:hAnsi="Arial" w:cs="Arial"/>
          <w:szCs w:val="24"/>
        </w:rPr>
        <w:t>planie ogólnym</w:t>
      </w:r>
      <w:r w:rsidRPr="0010230C">
        <w:rPr>
          <w:rFonts w:ascii="Arial" w:hAnsi="Arial" w:cs="Arial"/>
          <w:szCs w:val="24"/>
        </w:rPr>
        <w:t xml:space="preserve"> rekomendacji i wniosków zawartych w audycie krajobrazowym, w tym określonych w audycie granic krajobrazów priorytetowych (zgodnie z art. </w:t>
      </w:r>
      <w:r w:rsidR="00975007" w:rsidRPr="0010230C">
        <w:rPr>
          <w:rFonts w:ascii="Arial" w:hAnsi="Arial" w:cs="Arial"/>
          <w:szCs w:val="24"/>
        </w:rPr>
        <w:t>13b</w:t>
      </w:r>
      <w:r w:rsidRPr="0010230C">
        <w:rPr>
          <w:rFonts w:ascii="Arial" w:hAnsi="Arial" w:cs="Arial"/>
          <w:szCs w:val="24"/>
        </w:rPr>
        <w:t xml:space="preserve"> pkt </w:t>
      </w:r>
      <w:r w:rsidR="00975007" w:rsidRPr="0010230C">
        <w:rPr>
          <w:rFonts w:ascii="Arial" w:hAnsi="Arial" w:cs="Arial"/>
          <w:szCs w:val="24"/>
        </w:rPr>
        <w:t xml:space="preserve">5 </w:t>
      </w:r>
      <w:r w:rsidRPr="0010230C">
        <w:rPr>
          <w:rFonts w:ascii="Arial" w:hAnsi="Arial" w:cs="Arial"/>
          <w:szCs w:val="24"/>
        </w:rPr>
        <w:t>ustawy z dnia 27 marca 2003 r. o planowaniu i zagospodarowaniu przestrzennym).</w:t>
      </w:r>
    </w:p>
    <w:p w14:paraId="7166B306" w14:textId="418DFF3D" w:rsidR="00BC5E43" w:rsidRPr="0010230C" w:rsidRDefault="00BB37F2" w:rsidP="0047538E">
      <w:pPr>
        <w:tabs>
          <w:tab w:val="num" w:pos="426"/>
        </w:tabs>
        <w:spacing w:after="120" w:line="276" w:lineRule="auto"/>
        <w:ind w:left="426" w:hanging="426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ab/>
      </w:r>
      <w:r w:rsidR="002D3F91" w:rsidRPr="0010230C">
        <w:rPr>
          <w:rFonts w:ascii="Arial" w:hAnsi="Arial" w:cs="Arial"/>
          <w:szCs w:val="24"/>
        </w:rPr>
        <w:t>Na dzień składania ww. wniosku - audyt krajobrazowy - nie został uchwalony.</w:t>
      </w:r>
    </w:p>
    <w:p w14:paraId="4B9C96E1" w14:textId="472C7379" w:rsidR="00A03A8F" w:rsidRPr="0010230C" w:rsidRDefault="00A03A8F" w:rsidP="0047538E">
      <w:pPr>
        <w:tabs>
          <w:tab w:val="num" w:pos="426"/>
        </w:tabs>
        <w:spacing w:after="120" w:line="276" w:lineRule="auto"/>
        <w:ind w:left="426" w:hanging="426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ab/>
        <w:t>23 grudnia 2024 r. Zarząd Województwa Pomorskiego podjął uchwałę nr 1579/52/</w:t>
      </w:r>
      <w:r w:rsidRPr="0010230C">
        <w:rPr>
          <w:rFonts w:ascii="Arial" w:hAnsi="Arial" w:cs="Arial"/>
          <w:i/>
          <w:szCs w:val="24"/>
        </w:rPr>
        <w:t>24 w sprawie przyjęcia projektu Audytu Krajobrazowego Województwa Pomorskiego i</w:t>
      </w:r>
      <w:r w:rsidRPr="0010230C">
        <w:rPr>
          <w:rFonts w:ascii="Arial" w:hAnsi="Arial" w:cs="Arial"/>
          <w:szCs w:val="24"/>
        </w:rPr>
        <w:t> </w:t>
      </w:r>
      <w:r w:rsidRPr="0010230C">
        <w:rPr>
          <w:rFonts w:ascii="Arial" w:hAnsi="Arial" w:cs="Arial"/>
          <w:i/>
          <w:szCs w:val="24"/>
        </w:rPr>
        <w:t>przeprowadzenia etapu jego opiniowania</w:t>
      </w:r>
      <w:r w:rsidRPr="0010230C">
        <w:rPr>
          <w:rFonts w:ascii="Arial" w:hAnsi="Arial" w:cs="Arial"/>
          <w:szCs w:val="24"/>
        </w:rPr>
        <w:t>. Projekt dokumentu dla tego etapu udostępnia Pomorskie Biuro Planowania Regionalnego w Gdańsku na stronie Audyt Krajobrazowy Województwa Pomorskiego – PBPR</w:t>
      </w:r>
      <w:r w:rsidRPr="0010230C">
        <w:rPr>
          <w:rStyle w:val="Odwoanieprzypisudolnego"/>
          <w:rFonts w:ascii="Arial" w:hAnsi="Arial" w:cs="Arial"/>
          <w:szCs w:val="24"/>
        </w:rPr>
        <w:footnoteReference w:id="8"/>
      </w:r>
      <w:r w:rsidRPr="0010230C">
        <w:rPr>
          <w:rFonts w:ascii="Arial" w:hAnsi="Arial" w:cs="Arial"/>
          <w:szCs w:val="24"/>
        </w:rPr>
        <w:t>.</w:t>
      </w:r>
    </w:p>
    <w:p w14:paraId="0BEEED89" w14:textId="56CA6884" w:rsidR="00BC5E43" w:rsidRPr="0010230C" w:rsidRDefault="002D3F91" w:rsidP="0047538E">
      <w:pPr>
        <w:pStyle w:val="Nagwek20"/>
        <w:numPr>
          <w:ilvl w:val="0"/>
          <w:numId w:val="3"/>
        </w:numPr>
        <w:tabs>
          <w:tab w:val="clear" w:pos="0"/>
          <w:tab w:val="num" w:pos="426"/>
        </w:tabs>
        <w:spacing w:after="120" w:line="276" w:lineRule="auto"/>
        <w:ind w:left="426" w:hanging="426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Wnosi się ponadto o uwzględnienie w </w:t>
      </w:r>
      <w:r w:rsidR="00975007" w:rsidRPr="0010230C">
        <w:rPr>
          <w:rFonts w:ascii="Arial" w:hAnsi="Arial" w:cs="Arial"/>
          <w:szCs w:val="24"/>
        </w:rPr>
        <w:t xml:space="preserve">planie ogólnym </w:t>
      </w:r>
      <w:r w:rsidRPr="0010230C">
        <w:rPr>
          <w:rFonts w:ascii="Arial" w:hAnsi="Arial" w:cs="Arial"/>
          <w:szCs w:val="24"/>
        </w:rPr>
        <w:t xml:space="preserve">innych dokumentów uchwalonych przez Sejmik Województwa Pomorskiego lub Zarząd Województwa Pomorskiego, które wyznaczają kierunki rozwoju lub określają ramy prowadzenia działań prorozwojowych (zawarte w nich zapisy nie mają charakteru ustaleń, z wyjątkiem tych, do których bezpośrednio odnosi się Plan zagospodarowania przestrzennego województwa pomorskiego). Należą do nich między innymi: </w:t>
      </w:r>
    </w:p>
    <w:p w14:paraId="0FDD4DF2" w14:textId="62FDC743" w:rsidR="002A4363" w:rsidRPr="0010230C" w:rsidRDefault="002A4363" w:rsidP="005F061F">
      <w:pPr>
        <w:pStyle w:val="Akapitzlist"/>
        <w:numPr>
          <w:ilvl w:val="0"/>
          <w:numId w:val="22"/>
        </w:numPr>
        <w:spacing w:line="276" w:lineRule="auto"/>
        <w:ind w:left="993" w:hanging="567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Programy ochrony powietrza przyjęte przez Sejmik Województwa Pomorskiego</w:t>
      </w:r>
      <w:r w:rsidR="00D0029D" w:rsidRPr="0010230C">
        <w:rPr>
          <w:rStyle w:val="Zakotwiczenieprzypisudolnego"/>
          <w:rFonts w:ascii="Arial" w:hAnsi="Arial" w:cs="Arial"/>
          <w:bCs/>
          <w:szCs w:val="24"/>
        </w:rPr>
        <w:footnoteReference w:id="9"/>
      </w:r>
      <w:r w:rsidRPr="0010230C">
        <w:rPr>
          <w:rFonts w:ascii="Arial" w:hAnsi="Arial" w:cs="Arial"/>
          <w:szCs w:val="24"/>
        </w:rPr>
        <w:t>:</w:t>
      </w:r>
    </w:p>
    <w:p w14:paraId="7A3C9821" w14:textId="2DC2C278" w:rsidR="002A4363" w:rsidRPr="0010230C" w:rsidRDefault="002A4363" w:rsidP="005F061F">
      <w:pPr>
        <w:pStyle w:val="Akapitzlist"/>
        <w:numPr>
          <w:ilvl w:val="1"/>
          <w:numId w:val="22"/>
        </w:numPr>
        <w:spacing w:after="120" w:line="276" w:lineRule="auto"/>
        <w:ind w:left="993" w:hanging="35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Uchwała Nr 308/XXIV/20 Sejmiku Województwa Pomorskiego z dnia 28 września 2020 r. w sprawie programu ochrony powietrza dla strefy </w:t>
      </w:r>
      <w:r w:rsidRPr="0010230C">
        <w:rPr>
          <w:rFonts w:ascii="Arial" w:hAnsi="Arial" w:cs="Arial"/>
          <w:szCs w:val="24"/>
        </w:rPr>
        <w:lastRenderedPageBreak/>
        <w:t xml:space="preserve">pomorskiej, w której został przekroczony poziom dopuszczalny pyłu zawieszonego PM10 oraz poziom docelowy </w:t>
      </w:r>
      <w:proofErr w:type="spellStart"/>
      <w:r w:rsidRPr="0010230C">
        <w:rPr>
          <w:rFonts w:ascii="Arial" w:hAnsi="Arial" w:cs="Arial"/>
          <w:szCs w:val="24"/>
        </w:rPr>
        <w:t>benzo</w:t>
      </w:r>
      <w:proofErr w:type="spellEnd"/>
      <w:r w:rsidRPr="0010230C">
        <w:rPr>
          <w:rFonts w:ascii="Arial" w:hAnsi="Arial" w:cs="Arial"/>
          <w:szCs w:val="24"/>
        </w:rPr>
        <w:t>(a)</w:t>
      </w:r>
      <w:proofErr w:type="spellStart"/>
      <w:r w:rsidRPr="0010230C">
        <w:rPr>
          <w:rFonts w:ascii="Arial" w:hAnsi="Arial" w:cs="Arial"/>
          <w:szCs w:val="24"/>
        </w:rPr>
        <w:t>pirenu</w:t>
      </w:r>
      <w:proofErr w:type="spellEnd"/>
      <w:r w:rsidR="00265240" w:rsidRPr="0010230C">
        <w:rPr>
          <w:rFonts w:ascii="Arial" w:hAnsi="Arial" w:cs="Arial"/>
          <w:szCs w:val="24"/>
        </w:rPr>
        <w:t xml:space="preserve">, Uchwała Nr 414/XXXIV/21 Sejmiku Województwa Pomorskiego z dnia 28 czerwca 2021 r. </w:t>
      </w:r>
      <w:r w:rsidRPr="0010230C">
        <w:rPr>
          <w:rFonts w:ascii="Arial" w:hAnsi="Arial" w:cs="Arial"/>
          <w:szCs w:val="24"/>
        </w:rPr>
        <w:t xml:space="preserve">oraz Uchwała Nr 603/XLVIII/22 Sejmiku Województwa Pomorskiego z dnia 28 listopada 2022 r. zmieniająca uchwałę Sejmiku Województwa Pomorskiego w sprawie programu ochrony powietrza dla strefy pomorskiej, w której został przekroczony poziom dopuszczalny pyłu zawieszonego PM10 oraz poziom docelowy </w:t>
      </w:r>
      <w:proofErr w:type="spellStart"/>
      <w:r w:rsidRPr="0010230C">
        <w:rPr>
          <w:rFonts w:ascii="Arial" w:hAnsi="Arial" w:cs="Arial"/>
          <w:szCs w:val="24"/>
        </w:rPr>
        <w:t>benzo</w:t>
      </w:r>
      <w:proofErr w:type="spellEnd"/>
      <w:r w:rsidRPr="0010230C">
        <w:rPr>
          <w:rFonts w:ascii="Arial" w:hAnsi="Arial" w:cs="Arial"/>
          <w:szCs w:val="24"/>
        </w:rPr>
        <w:t>(a)</w:t>
      </w:r>
      <w:proofErr w:type="spellStart"/>
      <w:r w:rsidRPr="0010230C">
        <w:rPr>
          <w:rFonts w:ascii="Arial" w:hAnsi="Arial" w:cs="Arial"/>
          <w:szCs w:val="24"/>
        </w:rPr>
        <w:t>pirenu</w:t>
      </w:r>
      <w:proofErr w:type="spellEnd"/>
      <w:r w:rsidRPr="0010230C">
        <w:rPr>
          <w:rFonts w:ascii="Arial" w:hAnsi="Arial" w:cs="Arial"/>
          <w:szCs w:val="24"/>
        </w:rPr>
        <w:t>.</w:t>
      </w:r>
    </w:p>
    <w:p w14:paraId="539038E5" w14:textId="2E1878C7" w:rsidR="00C742EC" w:rsidRPr="0010230C" w:rsidRDefault="00C742EC" w:rsidP="005F061F">
      <w:pPr>
        <w:pStyle w:val="Akapitzlist"/>
        <w:numPr>
          <w:ilvl w:val="0"/>
          <w:numId w:val="34"/>
        </w:numPr>
        <w:spacing w:after="120"/>
        <w:ind w:left="993" w:hanging="56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Uchwała Nr 309/XXIV/20 Sejmiku Województwa Pomorskiego z dnia 28 września 2020 r. w sprawie wprowadzenia na obszarze miast województwa pomorskiego, z wyłączeniem Gminy Miasta Sopotu, ograniczeń i zakazów w zakresie eksploatacji instalacji, w których następuje spalanie paliw</w:t>
      </w:r>
      <w:r w:rsidRPr="0010230C">
        <w:rPr>
          <w:rStyle w:val="Odwoanieprzypisudolnego"/>
          <w:rFonts w:ascii="Arial" w:hAnsi="Arial" w:cs="Arial"/>
          <w:szCs w:val="24"/>
        </w:rPr>
        <w:footnoteReference w:id="10"/>
      </w:r>
      <w:r w:rsidRPr="0010230C">
        <w:rPr>
          <w:rFonts w:ascii="Arial" w:hAnsi="Arial" w:cs="Arial"/>
          <w:szCs w:val="24"/>
        </w:rPr>
        <w:t>.</w:t>
      </w:r>
    </w:p>
    <w:p w14:paraId="57FB2F8A" w14:textId="7BDE488D" w:rsidR="00951CF5" w:rsidRPr="0010230C" w:rsidRDefault="00951CF5" w:rsidP="005F061F">
      <w:pPr>
        <w:pStyle w:val="Akapitzlist"/>
        <w:numPr>
          <w:ilvl w:val="0"/>
          <w:numId w:val="34"/>
        </w:numPr>
        <w:spacing w:after="120"/>
        <w:ind w:left="993" w:hanging="56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Uchwała Nr 310/XXIV/20 Sejmiku Województwa Pomorskiego z dnia 28 września 2020 r. w sprawie wprowadzenia na obszarze województwa pomorskiego, z wyłączeniem Gminy Miasta Sopotu i obszaru miast, ograniczeń i zakazów w zakresie eksploatacji instalacji, w których następuje spalanie paliw</w:t>
      </w:r>
      <w:r w:rsidRPr="0010230C">
        <w:rPr>
          <w:rStyle w:val="Odwoanieprzypisudolnego"/>
          <w:rFonts w:ascii="Arial" w:hAnsi="Arial" w:cs="Arial"/>
          <w:szCs w:val="24"/>
        </w:rPr>
        <w:footnoteReference w:id="11"/>
      </w:r>
      <w:r w:rsidRPr="0010230C">
        <w:rPr>
          <w:rFonts w:ascii="Arial" w:hAnsi="Arial" w:cs="Arial"/>
          <w:szCs w:val="24"/>
        </w:rPr>
        <w:t>.</w:t>
      </w:r>
    </w:p>
    <w:p w14:paraId="6EA84C04" w14:textId="068D856B" w:rsidR="000033C0" w:rsidRPr="0010230C" w:rsidRDefault="002B3BAC" w:rsidP="005F061F">
      <w:pPr>
        <w:pStyle w:val="Akapitzlist"/>
        <w:numPr>
          <w:ilvl w:val="0"/>
          <w:numId w:val="34"/>
        </w:numPr>
        <w:spacing w:after="120" w:line="276" w:lineRule="auto"/>
        <w:ind w:left="993" w:hanging="56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Uchwała </w:t>
      </w:r>
      <w:r w:rsidR="003123C4" w:rsidRPr="0010230C">
        <w:rPr>
          <w:rFonts w:ascii="Arial" w:hAnsi="Arial" w:cs="Arial"/>
          <w:szCs w:val="24"/>
        </w:rPr>
        <w:t xml:space="preserve">Nr 788/XXXVII/14 </w:t>
      </w:r>
      <w:r w:rsidRPr="0010230C">
        <w:rPr>
          <w:rFonts w:ascii="Arial" w:hAnsi="Arial" w:cs="Arial"/>
          <w:szCs w:val="24"/>
        </w:rPr>
        <w:t>Sejmiku Województwa Pomorskiego z dnia 24 lutego 2014 r. w sprawie przyjęcia „Planu zrównoważonego rozwoju publicznego transportu zbiorowego dla Województwa Pomorskiego”</w:t>
      </w:r>
      <w:r w:rsidRPr="0010230C">
        <w:rPr>
          <w:rStyle w:val="Zakotwiczenieprzypisudolnego"/>
          <w:rFonts w:ascii="Arial" w:hAnsi="Arial" w:cs="Arial"/>
          <w:szCs w:val="24"/>
        </w:rPr>
        <w:footnoteReference w:id="12"/>
      </w:r>
      <w:r w:rsidR="003123C4" w:rsidRPr="0010230C">
        <w:rPr>
          <w:rFonts w:ascii="Arial" w:hAnsi="Arial" w:cs="Arial"/>
          <w:szCs w:val="24"/>
        </w:rPr>
        <w:t>.</w:t>
      </w:r>
    </w:p>
    <w:p w14:paraId="0A42ACA0" w14:textId="0174C55A" w:rsidR="000017DC" w:rsidRPr="0010230C" w:rsidRDefault="000017DC" w:rsidP="005F061F">
      <w:pPr>
        <w:pStyle w:val="Akapitzlist"/>
        <w:numPr>
          <w:ilvl w:val="0"/>
          <w:numId w:val="34"/>
        </w:numPr>
        <w:spacing w:after="120" w:line="276" w:lineRule="auto"/>
        <w:ind w:left="993" w:hanging="56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Uchwała Zarządu Województwa Pomorskiego nr 586/162/20 z dnia 9 lipca 2020 roku w sprawie przyjęcia planu rozwoju sieci dróg wojewódzkich województwa pomorskiego.</w:t>
      </w:r>
    </w:p>
    <w:p w14:paraId="27EFDB8E" w14:textId="4B272E2F" w:rsidR="000033C0" w:rsidRPr="0010230C" w:rsidRDefault="000033C0" w:rsidP="005F061F">
      <w:pPr>
        <w:pStyle w:val="Akapitzlist"/>
        <w:numPr>
          <w:ilvl w:val="0"/>
          <w:numId w:val="34"/>
        </w:numPr>
        <w:spacing w:after="120" w:line="276" w:lineRule="auto"/>
        <w:ind w:left="993" w:hanging="56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Strategia rozwoju województwa pomorskiego 2030 (Uchwała </w:t>
      </w:r>
      <w:r w:rsidR="003123C4" w:rsidRPr="0010230C">
        <w:rPr>
          <w:rFonts w:ascii="Arial" w:hAnsi="Arial" w:cs="Arial"/>
          <w:szCs w:val="24"/>
        </w:rPr>
        <w:t>N</w:t>
      </w:r>
      <w:r w:rsidRPr="0010230C">
        <w:rPr>
          <w:rFonts w:ascii="Arial" w:hAnsi="Arial" w:cs="Arial"/>
          <w:szCs w:val="24"/>
        </w:rPr>
        <w:t>r 376/XXX/21 Sejmiku Województwa Pomorskiego z dnia 12 kwietnia 2021 r.</w:t>
      </w:r>
      <w:r w:rsidR="00F61D2A" w:rsidRPr="0010230C">
        <w:rPr>
          <w:rFonts w:ascii="Arial" w:hAnsi="Arial" w:cs="Arial"/>
          <w:szCs w:val="24"/>
        </w:rPr>
        <w:t>)</w:t>
      </w:r>
      <w:r w:rsidRPr="0010230C">
        <w:rPr>
          <w:rStyle w:val="Zakotwiczenieprzypisudolnego"/>
          <w:rFonts w:ascii="Arial" w:hAnsi="Arial" w:cs="Arial"/>
          <w:szCs w:val="24"/>
        </w:rPr>
        <w:footnoteReference w:id="13"/>
      </w:r>
      <w:r w:rsidR="00EC1460" w:rsidRPr="0010230C">
        <w:rPr>
          <w:rStyle w:val="NagwekZnak"/>
          <w:rFonts w:ascii="Arial" w:hAnsi="Arial" w:cs="Arial"/>
          <w:szCs w:val="24"/>
        </w:rPr>
        <w:t>.</w:t>
      </w:r>
    </w:p>
    <w:p w14:paraId="7AE9D35E" w14:textId="0C936BEA" w:rsidR="002B3BAC" w:rsidRPr="0010230C" w:rsidRDefault="00446107" w:rsidP="005F061F">
      <w:pPr>
        <w:pStyle w:val="Akapitzlist"/>
        <w:numPr>
          <w:ilvl w:val="0"/>
          <w:numId w:val="34"/>
        </w:numPr>
        <w:spacing w:after="0" w:line="276" w:lineRule="auto"/>
        <w:ind w:left="993" w:hanging="56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Pozostałe dokumenty </w:t>
      </w:r>
      <w:proofErr w:type="spellStart"/>
      <w:r w:rsidRPr="0010230C">
        <w:rPr>
          <w:rFonts w:ascii="Arial" w:hAnsi="Arial" w:cs="Arial"/>
          <w:szCs w:val="24"/>
        </w:rPr>
        <w:t>strategiczno</w:t>
      </w:r>
      <w:proofErr w:type="spellEnd"/>
      <w:r w:rsidRPr="0010230C">
        <w:rPr>
          <w:rFonts w:ascii="Arial" w:hAnsi="Arial" w:cs="Arial"/>
          <w:szCs w:val="24"/>
        </w:rPr>
        <w:t>-planistyczne Samorządu Województwa Pomorskiego:</w:t>
      </w:r>
    </w:p>
    <w:p w14:paraId="04E51DAA" w14:textId="3F595429" w:rsidR="000033C0" w:rsidRPr="0010230C" w:rsidRDefault="000033C0" w:rsidP="005F061F">
      <w:pPr>
        <w:numPr>
          <w:ilvl w:val="1"/>
          <w:numId w:val="34"/>
        </w:numPr>
        <w:spacing w:after="120" w:line="276" w:lineRule="auto"/>
        <w:ind w:left="992" w:hanging="357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Regionalny Program Strategiczny w zakresie edukacji i kapitału społecznego (Uchwała Nr 757/271/21 Zarządu Województwa Pomorskiego z dnia 29 lipca 2021 r.)</w:t>
      </w:r>
      <w:r w:rsidRPr="0010230C">
        <w:rPr>
          <w:rStyle w:val="Zakotwiczenieprzypisudolnego"/>
          <w:rFonts w:ascii="Arial" w:hAnsi="Arial" w:cs="Arial"/>
          <w:szCs w:val="24"/>
        </w:rPr>
        <w:footnoteReference w:id="14"/>
      </w:r>
      <w:r w:rsidRPr="0010230C">
        <w:rPr>
          <w:rFonts w:ascii="Arial" w:hAnsi="Arial" w:cs="Arial"/>
          <w:szCs w:val="24"/>
        </w:rPr>
        <w:t>,</w:t>
      </w:r>
    </w:p>
    <w:p w14:paraId="64AFC7EA" w14:textId="46789747" w:rsidR="000033C0" w:rsidRPr="0010230C" w:rsidRDefault="000033C0" w:rsidP="005F061F">
      <w:pPr>
        <w:numPr>
          <w:ilvl w:val="1"/>
          <w:numId w:val="34"/>
        </w:numPr>
        <w:spacing w:after="120" w:line="276" w:lineRule="auto"/>
        <w:ind w:left="99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lastRenderedPageBreak/>
        <w:t xml:space="preserve">Regionalny Program Strategiczny w zakresie bezpieczeństwa zdrowotnego </w:t>
      </w:r>
      <w:r w:rsidRPr="0010230C">
        <w:rPr>
          <w:rFonts w:ascii="Arial" w:hAnsi="Arial" w:cs="Arial"/>
          <w:szCs w:val="24"/>
        </w:rPr>
        <w:br/>
      </w:r>
      <w:r w:rsidR="002D2B75" w:rsidRPr="0010230C">
        <w:rPr>
          <w:rFonts w:ascii="Arial" w:hAnsi="Arial" w:cs="Arial"/>
          <w:szCs w:val="24"/>
        </w:rPr>
        <w:t>i wrażliwości społecznej (Uchwała Nr 1533/510/23 Zarządu Województwa Pomorskiego z dnia 28 grudnia 2023 r.)</w:t>
      </w:r>
      <w:r w:rsidR="002D2B75" w:rsidRPr="0010230C">
        <w:rPr>
          <w:rStyle w:val="Odwoanieprzypisudolnego"/>
          <w:rFonts w:ascii="Arial" w:hAnsi="Arial" w:cs="Arial"/>
          <w:szCs w:val="24"/>
        </w:rPr>
        <w:t xml:space="preserve"> </w:t>
      </w:r>
      <w:r w:rsidR="002D2B75" w:rsidRPr="0010230C">
        <w:rPr>
          <w:rStyle w:val="Odwoanieprzypisudolnego"/>
          <w:rFonts w:ascii="Arial" w:hAnsi="Arial" w:cs="Arial"/>
          <w:szCs w:val="24"/>
        </w:rPr>
        <w:footnoteReference w:id="15"/>
      </w:r>
      <w:r w:rsidRPr="0010230C">
        <w:rPr>
          <w:rFonts w:ascii="Arial" w:hAnsi="Arial" w:cs="Arial"/>
          <w:szCs w:val="24"/>
        </w:rPr>
        <w:t>,</w:t>
      </w:r>
    </w:p>
    <w:p w14:paraId="46954EF3" w14:textId="77777777" w:rsidR="000033C0" w:rsidRPr="0010230C" w:rsidRDefault="000033C0" w:rsidP="005F061F">
      <w:pPr>
        <w:numPr>
          <w:ilvl w:val="1"/>
          <w:numId w:val="34"/>
        </w:numPr>
        <w:spacing w:after="120" w:line="276" w:lineRule="auto"/>
        <w:ind w:left="99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Regionalny Program Strategiczny w zakresie gospodarki, rynku pracy, oferty turystycznej i czasu wolnego (Uchwała Nr 61/421/23 Zarządu Województwa Pomorskiego z dnia 17 stycznia 2023 r.)</w:t>
      </w:r>
      <w:r w:rsidRPr="0010230C">
        <w:rPr>
          <w:rStyle w:val="Zakotwiczenieprzypisudolnego"/>
          <w:rFonts w:ascii="Arial" w:hAnsi="Arial" w:cs="Arial"/>
          <w:szCs w:val="24"/>
        </w:rPr>
        <w:footnoteReference w:id="16"/>
      </w:r>
      <w:r w:rsidRPr="0010230C">
        <w:rPr>
          <w:rFonts w:ascii="Arial" w:hAnsi="Arial" w:cs="Arial"/>
          <w:szCs w:val="24"/>
        </w:rPr>
        <w:t>,</w:t>
      </w:r>
    </w:p>
    <w:p w14:paraId="69028C2D" w14:textId="5C36DA16" w:rsidR="000033C0" w:rsidRPr="0010230C" w:rsidRDefault="000033C0" w:rsidP="005F061F">
      <w:pPr>
        <w:numPr>
          <w:ilvl w:val="1"/>
          <w:numId w:val="34"/>
        </w:numPr>
        <w:spacing w:after="120" w:line="276" w:lineRule="auto"/>
        <w:ind w:left="99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Regionalny Program Strategiczny w zakresie bezpieczeństwa środowiskowego i energetycznego (Uchwała Nr 756/271/21 Zarządu Województwa Pomorskiego z dnia 29 lipca 2021 r.)</w:t>
      </w:r>
      <w:r w:rsidRPr="0010230C">
        <w:rPr>
          <w:rStyle w:val="Zakotwiczenieprzypisudolnego"/>
          <w:rFonts w:ascii="Arial" w:hAnsi="Arial" w:cs="Arial"/>
          <w:szCs w:val="24"/>
        </w:rPr>
        <w:footnoteReference w:id="17"/>
      </w:r>
      <w:r w:rsidRPr="0010230C">
        <w:rPr>
          <w:rFonts w:ascii="Arial" w:hAnsi="Arial" w:cs="Arial"/>
          <w:szCs w:val="24"/>
        </w:rPr>
        <w:t>,</w:t>
      </w:r>
    </w:p>
    <w:p w14:paraId="16B876C7" w14:textId="4860F437" w:rsidR="00F5560C" w:rsidRPr="0010230C" w:rsidRDefault="000033C0" w:rsidP="005F061F">
      <w:pPr>
        <w:pStyle w:val="Akapitzlist"/>
        <w:numPr>
          <w:ilvl w:val="1"/>
          <w:numId w:val="34"/>
        </w:numPr>
        <w:spacing w:after="120" w:line="276" w:lineRule="auto"/>
        <w:ind w:left="99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Regionalny Program Strategiczny w zakresie mobilności i komunikacji (Uchwała </w:t>
      </w:r>
      <w:r w:rsidR="00F95E20" w:rsidRPr="0010230C">
        <w:rPr>
          <w:rFonts w:ascii="Arial" w:hAnsi="Arial" w:cs="Arial"/>
          <w:szCs w:val="24"/>
        </w:rPr>
        <w:t>N</w:t>
      </w:r>
      <w:r w:rsidRPr="0010230C">
        <w:rPr>
          <w:rFonts w:ascii="Arial" w:hAnsi="Arial" w:cs="Arial"/>
          <w:szCs w:val="24"/>
        </w:rPr>
        <w:t>r 842/381/22 Zarządu Województwa Pomorskiego z dnia 30 sierpnia 2022</w:t>
      </w:r>
      <w:r w:rsidR="00A8248A" w:rsidRPr="0010230C">
        <w:rPr>
          <w:rFonts w:ascii="Arial" w:hAnsi="Arial" w:cs="Arial"/>
          <w:szCs w:val="24"/>
        </w:rPr>
        <w:t xml:space="preserve"> r.</w:t>
      </w:r>
      <w:r w:rsidR="006C50E8" w:rsidRPr="0010230C">
        <w:rPr>
          <w:rFonts w:ascii="Arial" w:hAnsi="Arial" w:cs="Arial"/>
          <w:szCs w:val="24"/>
        </w:rPr>
        <w:t>)</w:t>
      </w:r>
      <w:r w:rsidR="006C50E8" w:rsidRPr="0010230C">
        <w:rPr>
          <w:rStyle w:val="Odwoanieprzypisudolnego"/>
          <w:rFonts w:ascii="Arial" w:hAnsi="Arial" w:cs="Arial"/>
          <w:szCs w:val="24"/>
        </w:rPr>
        <w:footnoteReference w:id="18"/>
      </w:r>
      <w:r w:rsidR="00A371DA" w:rsidRPr="0010230C">
        <w:rPr>
          <w:rFonts w:ascii="Arial" w:hAnsi="Arial" w:cs="Arial"/>
          <w:szCs w:val="24"/>
        </w:rPr>
        <w:t>,</w:t>
      </w:r>
    </w:p>
    <w:p w14:paraId="786BCDFE" w14:textId="4A23BEAC" w:rsidR="00446107" w:rsidRPr="0010230C" w:rsidRDefault="00446107" w:rsidP="005F061F">
      <w:pPr>
        <w:pStyle w:val="Akapitzlist"/>
        <w:numPr>
          <w:ilvl w:val="1"/>
          <w:numId w:val="34"/>
        </w:numPr>
        <w:spacing w:after="120" w:line="276" w:lineRule="auto"/>
        <w:ind w:left="99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Plan Gospodarki Odpadami dla Województwa Pomorskiego 2022 (uchwała </w:t>
      </w:r>
      <w:r w:rsidRPr="0010230C">
        <w:rPr>
          <w:rFonts w:ascii="Arial" w:hAnsi="Arial" w:cs="Arial"/>
          <w:szCs w:val="24"/>
        </w:rPr>
        <w:br/>
      </w:r>
      <w:r w:rsidR="00F95E20" w:rsidRPr="0010230C">
        <w:rPr>
          <w:rFonts w:ascii="Arial" w:hAnsi="Arial" w:cs="Arial"/>
          <w:szCs w:val="24"/>
        </w:rPr>
        <w:t>N</w:t>
      </w:r>
      <w:r w:rsidRPr="0010230C">
        <w:rPr>
          <w:rFonts w:ascii="Arial" w:hAnsi="Arial" w:cs="Arial"/>
          <w:szCs w:val="24"/>
        </w:rPr>
        <w:t xml:space="preserve">r 321/XXX/16 Sejmiku Województwa Pomorskiego z dnia 29 grudnia 2016 r.) ze zm. (Uchwała nr 56/V/19 Sejmiku Województwa Pomorskiego z dnia </w:t>
      </w:r>
      <w:r w:rsidR="002D2B75" w:rsidRPr="0010230C">
        <w:rPr>
          <w:rFonts w:ascii="Arial" w:hAnsi="Arial" w:cs="Arial"/>
          <w:szCs w:val="24"/>
        </w:rPr>
        <w:t>28 stycznia 2019 r.)</w:t>
      </w:r>
      <w:r w:rsidR="002D2B75" w:rsidRPr="0010230C">
        <w:rPr>
          <w:rStyle w:val="Zakotwiczenieprzypisudolnego"/>
          <w:rFonts w:ascii="Arial" w:hAnsi="Arial" w:cs="Arial"/>
          <w:szCs w:val="24"/>
        </w:rPr>
        <w:footnoteReference w:id="19"/>
      </w:r>
      <w:r w:rsidRPr="0010230C">
        <w:rPr>
          <w:rFonts w:ascii="Arial" w:hAnsi="Arial" w:cs="Arial"/>
          <w:szCs w:val="24"/>
        </w:rPr>
        <w:t>,</w:t>
      </w:r>
    </w:p>
    <w:p w14:paraId="51A35FDB" w14:textId="67BFDF64" w:rsidR="0071164C" w:rsidRPr="0010230C" w:rsidRDefault="0071164C" w:rsidP="005F061F">
      <w:pPr>
        <w:pStyle w:val="Akapitzlist"/>
        <w:numPr>
          <w:ilvl w:val="1"/>
          <w:numId w:val="34"/>
        </w:numPr>
        <w:spacing w:after="120" w:line="276" w:lineRule="auto"/>
        <w:ind w:left="993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Program Ochrony Środowiska Województwa Pomorskiego 2030 (Uchwała Nr 618/L/23 Sejmiku Województwa Pomorskiego z dnia 30 stycznia 2023 r.)</w:t>
      </w:r>
      <w:r w:rsidRPr="0010230C">
        <w:rPr>
          <w:rStyle w:val="Zakotwiczenieprzypisudolnego"/>
          <w:rFonts w:ascii="Arial" w:hAnsi="Arial" w:cs="Arial"/>
          <w:szCs w:val="24"/>
        </w:rPr>
        <w:footnoteReference w:id="20"/>
      </w:r>
      <w:r w:rsidRPr="0010230C">
        <w:rPr>
          <w:rFonts w:ascii="Arial" w:hAnsi="Arial" w:cs="Arial"/>
          <w:szCs w:val="24"/>
        </w:rPr>
        <w:t>,</w:t>
      </w:r>
    </w:p>
    <w:p w14:paraId="34C4B896" w14:textId="71D1EFA6" w:rsidR="00BC5E43" w:rsidRPr="0010230C" w:rsidRDefault="0071164C" w:rsidP="0047538E">
      <w:pPr>
        <w:pStyle w:val="Akapitzlist"/>
        <w:numPr>
          <w:ilvl w:val="1"/>
          <w:numId w:val="5"/>
        </w:numPr>
        <w:spacing w:after="120" w:line="276" w:lineRule="auto"/>
        <w:ind w:left="993" w:hanging="360"/>
        <w:contextualSpacing w:val="0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>Wojewódzki program opieki nad zabytkami w województwie pomorskim na lata 2021-2024 (uchwała Nr 455/XXXVIII/21 Sejmiku Województwa Pomorskiego z dnia 29 listopada 2021 r.)</w:t>
      </w:r>
      <w:r w:rsidRPr="0010230C">
        <w:rPr>
          <w:rStyle w:val="Zakotwiczenieprzypisudolnego"/>
          <w:rFonts w:ascii="Arial" w:hAnsi="Arial" w:cs="Arial"/>
          <w:bCs/>
          <w:szCs w:val="24"/>
        </w:rPr>
        <w:footnoteReference w:id="21"/>
      </w:r>
      <w:r w:rsidR="000033C0" w:rsidRPr="0010230C">
        <w:rPr>
          <w:rFonts w:ascii="Arial" w:hAnsi="Arial" w:cs="Arial"/>
          <w:szCs w:val="24"/>
        </w:rPr>
        <w:t>.</w:t>
      </w:r>
    </w:p>
    <w:p w14:paraId="3E55FD36" w14:textId="77777777" w:rsidR="00BD168F" w:rsidRPr="0010230C" w:rsidRDefault="00BD168F" w:rsidP="0047538E">
      <w:pPr>
        <w:spacing w:after="120" w:line="276" w:lineRule="auto"/>
        <w:contextualSpacing w:val="0"/>
        <w:rPr>
          <w:rFonts w:ascii="Arial" w:hAnsi="Arial" w:cs="Arial"/>
          <w:szCs w:val="24"/>
        </w:rPr>
      </w:pPr>
    </w:p>
    <w:p w14:paraId="2DDA0CB4" w14:textId="73CEBD00" w:rsidR="001E0954" w:rsidRPr="0010230C" w:rsidRDefault="00BD168F" w:rsidP="0047538E">
      <w:pPr>
        <w:spacing w:after="120" w:line="276" w:lineRule="auto"/>
        <w:rPr>
          <w:rFonts w:ascii="Arial" w:hAnsi="Arial" w:cs="Arial"/>
          <w:szCs w:val="24"/>
        </w:rPr>
      </w:pPr>
      <w:r w:rsidRPr="0010230C">
        <w:rPr>
          <w:rFonts w:ascii="Arial" w:hAnsi="Arial" w:cs="Arial"/>
          <w:szCs w:val="24"/>
        </w:rPr>
        <w:t xml:space="preserve">Jednocześnie informujemy, że w dniu 25 marca 2024 roku Sejmik Województwa Pomorskiego podjął uchwałę w sprawie przystąpienia do sporządzenia zmiany planu </w:t>
      </w:r>
      <w:r w:rsidRPr="0010230C">
        <w:rPr>
          <w:rFonts w:ascii="Arial" w:hAnsi="Arial" w:cs="Arial"/>
          <w:szCs w:val="24"/>
        </w:rPr>
        <w:lastRenderedPageBreak/>
        <w:t xml:space="preserve">zagospodarowania przestrzennego województwa pomorskiego. Szczegółowe informacje nt. trwających prac znajdują się na stronie </w:t>
      </w:r>
      <w:hyperlink r:id="rId11" w:history="1">
        <w:r w:rsidRPr="0010230C">
          <w:rPr>
            <w:rStyle w:val="Hipercze"/>
            <w:rFonts w:ascii="Arial" w:hAnsi="Arial" w:cs="Arial"/>
            <w:szCs w:val="24"/>
          </w:rPr>
          <w:t>https://pbpr.pomorskie.pl/plan-zagospodarowania-wojewodztwa/zmiana-planu-zagospodarowania-przestrzennego-wojewodztwa-pomorskiego/</w:t>
        </w:r>
      </w:hyperlink>
    </w:p>
    <w:sectPr w:rsidR="001E0954" w:rsidRPr="0010230C">
      <w:headerReference w:type="default" r:id="rId12"/>
      <w:footerReference w:type="default" r:id="rId13"/>
      <w:pgSz w:w="11906" w:h="16838"/>
      <w:pgMar w:top="1417" w:right="1417" w:bottom="1417" w:left="1417" w:header="708" w:footer="340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7DA718" w16cex:dateUtc="2025-01-31T14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3FC6F" w14:textId="77777777" w:rsidR="003F368E" w:rsidRDefault="003F368E">
      <w:pPr>
        <w:spacing w:after="0" w:line="240" w:lineRule="auto"/>
      </w:pPr>
      <w:r>
        <w:separator/>
      </w:r>
    </w:p>
  </w:endnote>
  <w:endnote w:type="continuationSeparator" w:id="0">
    <w:p w14:paraId="2C327B0C" w14:textId="77777777" w:rsidR="003F368E" w:rsidRDefault="003F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Lato,Garamon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5782596"/>
      <w:docPartObj>
        <w:docPartGallery w:val="Page Numbers (Bottom of Page)"/>
        <w:docPartUnique/>
      </w:docPartObj>
    </w:sdtPr>
    <w:sdtEndPr/>
    <w:sdtContent>
      <w:p w14:paraId="7CDEEFC5" w14:textId="77777777" w:rsidR="00BC5E43" w:rsidRDefault="002D3F91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B47DC">
          <w:rPr>
            <w:noProof/>
          </w:rPr>
          <w:t>8</w:t>
        </w:r>
        <w:r>
          <w:fldChar w:fldCharType="end"/>
        </w:r>
      </w:p>
    </w:sdtContent>
  </w:sdt>
  <w:p w14:paraId="0FA14A89" w14:textId="77777777" w:rsidR="00BC5E43" w:rsidRDefault="00BC5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3D435" w14:textId="77777777" w:rsidR="003F368E" w:rsidRDefault="003F368E">
      <w:pPr>
        <w:rPr>
          <w:sz w:val="12"/>
        </w:rPr>
      </w:pPr>
      <w:r>
        <w:separator/>
      </w:r>
    </w:p>
  </w:footnote>
  <w:footnote w:type="continuationSeparator" w:id="0">
    <w:p w14:paraId="6750B732" w14:textId="77777777" w:rsidR="003F368E" w:rsidRDefault="003F368E">
      <w:pPr>
        <w:rPr>
          <w:sz w:val="12"/>
        </w:rPr>
      </w:pPr>
      <w:r>
        <w:continuationSeparator/>
      </w:r>
    </w:p>
  </w:footnote>
  <w:footnote w:id="1">
    <w:p w14:paraId="788FDE65" w14:textId="647D26DC" w:rsidR="00BC5E43" w:rsidRPr="0010230C" w:rsidRDefault="002D3F91">
      <w:pPr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  <w:vertAlign w:val="superscript"/>
        </w:rPr>
        <w:t xml:space="preserve"> </w:t>
      </w:r>
      <w:r w:rsidR="0010230C" w:rsidRPr="00A07AB5">
        <w:rPr>
          <w:rFonts w:ascii="Arial" w:hAnsi="Arial" w:cs="Arial"/>
          <w:sz w:val="22"/>
        </w:rPr>
        <w:t>Oznaczone szarym tłem ustalenia Planu są wiążące przy sporządzaniu studium oraz - w związku z regulacjami ustawy z dnia 7 lipca 2023 r. o zmianie ustawy o planowaniu i zagospodarowaniu przestrzennym oraz niektórych innych ustaw Dz.U.2023.1688 - planu ogólnego, dla którego stanowią podstawę do jego uzgodnienia przez Zarząd Województwa Pomorskiego w zakresie uwzględnienia ustaleń zawartych w planie zagospodarowania przestrzennego województwa.</w:t>
      </w:r>
    </w:p>
  </w:footnote>
  <w:footnote w:id="2">
    <w:p w14:paraId="4253D2EF" w14:textId="27626BCB" w:rsidR="00BC5E43" w:rsidRDefault="002D3F91">
      <w:pPr>
        <w:rPr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  <w:vertAlign w:val="superscript"/>
        </w:rPr>
        <w:t xml:space="preserve"> </w:t>
      </w:r>
      <w:r w:rsidR="00BD3F5D" w:rsidRPr="0010230C">
        <w:rPr>
          <w:rFonts w:ascii="Arial" w:hAnsi="Arial" w:cs="Arial"/>
          <w:sz w:val="22"/>
        </w:rPr>
        <w:t>Treść wniosku została sformułowana w oparciu o Plan zagospodarowania przestrzennego województwa pomorskiego 2030 (zał. 1)</w:t>
      </w:r>
      <w:r w:rsidR="005C4919" w:rsidRPr="0010230C">
        <w:rPr>
          <w:rFonts w:ascii="Arial" w:hAnsi="Arial" w:cs="Arial"/>
          <w:sz w:val="22"/>
        </w:rPr>
        <w:t>.</w:t>
      </w:r>
    </w:p>
  </w:footnote>
  <w:footnote w:id="3">
    <w:p w14:paraId="7DC1207E" w14:textId="2C73412B" w:rsidR="00075B4E" w:rsidRPr="0010230C" w:rsidRDefault="00075B4E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</w:t>
      </w:r>
      <w:r w:rsidR="002302DF" w:rsidRPr="0010230C">
        <w:rPr>
          <w:rFonts w:ascii="Arial" w:hAnsi="Arial" w:cs="Arial"/>
          <w:sz w:val="22"/>
          <w:szCs w:val="22"/>
        </w:rPr>
        <w:t>Zgodnie z art. 1, ust. 4, pkt 4. ustawy z dnia 27 marca 2003 r. o planowaniu i zagospodarowaniu przestrzennym (</w:t>
      </w:r>
      <w:r w:rsidR="00DE75F5" w:rsidRPr="0010230C">
        <w:rPr>
          <w:rFonts w:ascii="Arial" w:hAnsi="Arial" w:cs="Arial"/>
          <w:sz w:val="22"/>
          <w:szCs w:val="22"/>
        </w:rPr>
        <w:t>t.j. Dz. U. z 2024 r. poz. 1130</w:t>
      </w:r>
      <w:r w:rsidR="00467E6A" w:rsidRPr="0010230C">
        <w:rPr>
          <w:rFonts w:ascii="Arial" w:hAnsi="Arial" w:cs="Arial"/>
          <w:sz w:val="22"/>
          <w:szCs w:val="22"/>
        </w:rPr>
        <w:t xml:space="preserve"> </w:t>
      </w:r>
      <w:r w:rsidR="0010230C">
        <w:rPr>
          <w:rFonts w:ascii="Arial" w:hAnsi="Arial" w:cs="Arial"/>
          <w:sz w:val="22"/>
          <w:szCs w:val="22"/>
        </w:rPr>
        <w:t>ze</w:t>
      </w:r>
      <w:r w:rsidR="0053467B" w:rsidRPr="0010230C">
        <w:rPr>
          <w:rFonts w:ascii="Arial" w:hAnsi="Arial" w:cs="Arial"/>
          <w:sz w:val="22"/>
          <w:szCs w:val="22"/>
        </w:rPr>
        <w:t xml:space="preserve"> zm.</w:t>
      </w:r>
      <w:r w:rsidR="002302DF" w:rsidRPr="0010230C">
        <w:rPr>
          <w:rFonts w:ascii="Arial" w:hAnsi="Arial" w:cs="Arial"/>
          <w:sz w:val="22"/>
          <w:szCs w:val="22"/>
        </w:rPr>
        <w:t>).</w:t>
      </w:r>
    </w:p>
  </w:footnote>
  <w:footnote w:id="4">
    <w:p w14:paraId="7AB99E76" w14:textId="0CDB419E" w:rsidR="00426868" w:rsidRPr="0010230C" w:rsidRDefault="00426868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W PZPWP wskazano wprost odwołanie do treści studium, jednak dopuszcza się stosowanie go także do zapisów planu ogólnego.</w:t>
      </w:r>
    </w:p>
  </w:footnote>
  <w:footnote w:id="5">
    <w:p w14:paraId="74FD5E9C" w14:textId="6AD89757" w:rsidR="004C4E7A" w:rsidRPr="0010230C" w:rsidRDefault="004C4E7A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W PZPWP wskazano wprost odwołanie do treści studium, jednak dopuszcza się stosowanie go także do zapisów planu ogólnego.</w:t>
      </w:r>
    </w:p>
  </w:footnote>
  <w:footnote w:id="6">
    <w:p w14:paraId="59A7A6E5" w14:textId="2ABD4614" w:rsidR="00BC5E43" w:rsidRPr="0010230C" w:rsidRDefault="002D3F91" w:rsidP="0016293D">
      <w:pPr>
        <w:spacing w:after="0"/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  <w:vertAlign w:val="superscript"/>
        </w:rPr>
        <w:t xml:space="preserve"> </w:t>
      </w:r>
      <w:r w:rsidRPr="0010230C">
        <w:rPr>
          <w:rFonts w:ascii="Arial" w:hAnsi="Arial" w:cs="Arial"/>
          <w:sz w:val="22"/>
        </w:rPr>
        <w:t xml:space="preserve">Jednocześnie zwraca się uwagę na konieczność weryfikacji w toku prac planistycznych nad projektem </w:t>
      </w:r>
      <w:r w:rsidR="004C4E7A" w:rsidRPr="0010230C">
        <w:rPr>
          <w:rFonts w:ascii="Arial" w:hAnsi="Arial" w:cs="Arial"/>
          <w:sz w:val="22"/>
        </w:rPr>
        <w:t>planu ogólnego</w:t>
      </w:r>
      <w:r w:rsidRPr="0010230C">
        <w:rPr>
          <w:rFonts w:ascii="Arial" w:hAnsi="Arial" w:cs="Arial"/>
          <w:sz w:val="22"/>
        </w:rPr>
        <w:t xml:space="preserve"> wykazu inwestycji wynikających z Wieloletniej Prognozy Finansowej Województwa Pomorskiego.</w:t>
      </w:r>
    </w:p>
  </w:footnote>
  <w:footnote w:id="7">
    <w:p w14:paraId="0FBA7523" w14:textId="77777777" w:rsidR="00BC5E43" w:rsidRPr="0010230C" w:rsidRDefault="002D3F91">
      <w:pPr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Dla inwestycji niebędących zadaniami SWP szczegółowych informacji może udzielić właściwy, wskazany w załączniku nr 1 PZPWP, podmiot odpowiedzialny za realizację zadania.</w:t>
      </w:r>
    </w:p>
  </w:footnote>
  <w:footnote w:id="8">
    <w:p w14:paraId="0F56BCF4" w14:textId="77777777" w:rsidR="00A03A8F" w:rsidRPr="0010230C" w:rsidRDefault="00A03A8F" w:rsidP="00A03A8F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https://pbpr.pomorskie.pl/home/audyt-krajobrazowy-wojewodztwa-pomorskiego/</w:t>
      </w:r>
    </w:p>
  </w:footnote>
  <w:footnote w:id="9">
    <w:p w14:paraId="3CD246F7" w14:textId="093FAC47" w:rsidR="00D0029D" w:rsidRPr="00154581" w:rsidRDefault="00D0029D" w:rsidP="00D0029D">
      <w:pPr>
        <w:spacing w:after="0"/>
        <w:rPr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Strona internetowa: http://bip.pomorskie.eu/m,335,programy-ochrony-powietrza-w-wojewo</w:t>
      </w:r>
      <w:r w:rsidR="00A031DA" w:rsidRPr="0010230C">
        <w:rPr>
          <w:rFonts w:ascii="Arial" w:hAnsi="Arial" w:cs="Arial"/>
          <w:sz w:val="22"/>
        </w:rPr>
        <w:t>dztwie-pomorskim.html</w:t>
      </w:r>
    </w:p>
  </w:footnote>
  <w:footnote w:id="10">
    <w:p w14:paraId="5EE3946A" w14:textId="77777777" w:rsidR="00C742EC" w:rsidRPr="0010230C" w:rsidRDefault="00C742EC" w:rsidP="00C742EC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Dz. Urz. Woj. Pom z 2020 r. poz. 4232</w:t>
      </w:r>
    </w:p>
  </w:footnote>
  <w:footnote w:id="11">
    <w:p w14:paraId="0A34F306" w14:textId="77777777" w:rsidR="00951CF5" w:rsidRPr="0010230C" w:rsidRDefault="00951CF5" w:rsidP="00951CF5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Dz. Urz. Woj. Pom z 2020 r. poz. 4233</w:t>
      </w:r>
    </w:p>
  </w:footnote>
  <w:footnote w:id="12">
    <w:p w14:paraId="64858D7F" w14:textId="77777777" w:rsidR="002B3BAC" w:rsidRPr="0010230C" w:rsidRDefault="002B3BAC" w:rsidP="007442A2">
      <w:pPr>
        <w:spacing w:after="0"/>
        <w:rPr>
          <w:rStyle w:val="FootnoteCharacters"/>
          <w:rFonts w:ascii="Arial" w:hAnsi="Arial" w:cs="Arial"/>
          <w:sz w:val="22"/>
          <w:vertAlign w:val="baseline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Style w:val="FootnoteCharacters"/>
          <w:rFonts w:ascii="Arial" w:hAnsi="Arial" w:cs="Arial"/>
          <w:sz w:val="22"/>
        </w:rPr>
        <w:t xml:space="preserve"> </w:t>
      </w:r>
      <w:bookmarkStart w:id="1" w:name="_Hlk173330966"/>
      <w:r w:rsidRPr="0010230C">
        <w:rPr>
          <w:rStyle w:val="FootnoteCharacters"/>
          <w:rFonts w:ascii="Arial" w:hAnsi="Arial" w:cs="Arial"/>
          <w:sz w:val="22"/>
          <w:vertAlign w:val="baseline"/>
        </w:rPr>
        <w:t>Dz.</w:t>
      </w:r>
      <w:r w:rsidRPr="0010230C">
        <w:rPr>
          <w:rFonts w:ascii="Arial" w:hAnsi="Arial" w:cs="Arial"/>
          <w:sz w:val="22"/>
        </w:rPr>
        <w:t xml:space="preserve"> Urz.</w:t>
      </w:r>
      <w:r w:rsidRPr="0010230C">
        <w:rPr>
          <w:rStyle w:val="FootnoteCharacters"/>
          <w:rFonts w:ascii="Arial" w:hAnsi="Arial" w:cs="Arial"/>
          <w:sz w:val="22"/>
          <w:vertAlign w:val="baseline"/>
        </w:rPr>
        <w:t xml:space="preserve"> Woj. Pom. z 2014</w:t>
      </w:r>
      <w:r w:rsidRPr="0010230C">
        <w:rPr>
          <w:rFonts w:ascii="Arial" w:hAnsi="Arial" w:cs="Arial"/>
          <w:sz w:val="22"/>
        </w:rPr>
        <w:t xml:space="preserve"> </w:t>
      </w:r>
      <w:r w:rsidRPr="0010230C">
        <w:rPr>
          <w:rStyle w:val="FootnoteCharacters"/>
          <w:rFonts w:ascii="Arial" w:hAnsi="Arial" w:cs="Arial"/>
          <w:sz w:val="22"/>
          <w:vertAlign w:val="baseline"/>
        </w:rPr>
        <w:t>r., poz. 1122</w:t>
      </w:r>
      <w:bookmarkEnd w:id="1"/>
    </w:p>
  </w:footnote>
  <w:footnote w:id="13">
    <w:p w14:paraId="37C69082" w14:textId="77777777" w:rsidR="000033C0" w:rsidRPr="0010230C" w:rsidRDefault="000033C0" w:rsidP="000033C0">
      <w:pPr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  <w:vertAlign w:val="superscript"/>
        </w:rPr>
        <w:t xml:space="preserve"> </w:t>
      </w:r>
      <w:r w:rsidRPr="0010230C">
        <w:rPr>
          <w:rFonts w:ascii="Arial" w:hAnsi="Arial" w:cs="Arial"/>
          <w:sz w:val="22"/>
        </w:rPr>
        <w:t xml:space="preserve">Strona internetowa: </w:t>
      </w:r>
    </w:p>
    <w:p w14:paraId="57A28E5C" w14:textId="77777777" w:rsidR="000033C0" w:rsidRPr="0010230C" w:rsidRDefault="005F061F" w:rsidP="000033C0">
      <w:pPr>
        <w:rPr>
          <w:rFonts w:ascii="Arial" w:hAnsi="Arial" w:cs="Arial"/>
          <w:sz w:val="22"/>
        </w:rPr>
      </w:pPr>
      <w:hyperlink r:id="rId1">
        <w:r w:rsidR="000033C0" w:rsidRPr="0010230C">
          <w:rPr>
            <w:rStyle w:val="czeinternetowe"/>
            <w:rFonts w:ascii="Arial" w:hAnsi="Arial" w:cs="Arial"/>
            <w:color w:val="auto"/>
            <w:sz w:val="22"/>
          </w:rPr>
          <w:t>https://strategia2030.pomorskie.eu/-/strategia-rozwoju-wojewodztwa-pomorskiego-2030</w:t>
        </w:r>
      </w:hyperlink>
    </w:p>
  </w:footnote>
  <w:footnote w:id="14">
    <w:p w14:paraId="27E0C4C4" w14:textId="77777777" w:rsidR="000033C0" w:rsidRPr="00E57985" w:rsidRDefault="000033C0" w:rsidP="000033C0">
      <w:pPr>
        <w:spacing w:after="0"/>
        <w:rPr>
          <w:rFonts w:cstheme="minorHAnsi"/>
          <w:strike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Strona internetowa: https://strategia2030.pomorskie.eu/2021/08/04/1670/</w:t>
      </w:r>
      <w:r w:rsidRPr="00E57985">
        <w:rPr>
          <w:rFonts w:cstheme="minorHAnsi"/>
          <w:sz w:val="22"/>
        </w:rPr>
        <w:t xml:space="preserve"> </w:t>
      </w:r>
    </w:p>
  </w:footnote>
  <w:footnote w:id="15">
    <w:p w14:paraId="0892D6E3" w14:textId="740E5A6F" w:rsidR="002D2B75" w:rsidRPr="0010230C" w:rsidRDefault="002D2B75" w:rsidP="00D34D14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</w:t>
      </w:r>
      <w:r w:rsidR="00D34D14" w:rsidRPr="0010230C">
        <w:rPr>
          <w:rFonts w:ascii="Arial" w:hAnsi="Arial" w:cs="Arial"/>
          <w:sz w:val="22"/>
          <w:szCs w:val="22"/>
        </w:rPr>
        <w:t>Obecnie trwają prace nad projektem zmiany Programu. Strona internetowa: https://strategia2030.pomorskie.eu/regionalne-programy-strategiczne/rps-w-zakresie-bezpieczenstwa-zdrowotnego-i-wrazliwosci-spolecznej/</w:t>
      </w:r>
    </w:p>
  </w:footnote>
  <w:footnote w:id="16">
    <w:p w14:paraId="3959B88F" w14:textId="77777777" w:rsidR="000033C0" w:rsidRPr="0010230C" w:rsidRDefault="000033C0" w:rsidP="000033C0">
      <w:pPr>
        <w:spacing w:after="0"/>
        <w:contextualSpacing w:val="0"/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Strona internetowa: </w:t>
      </w:r>
      <w:hyperlink r:id="rId2" w:history="1">
        <w:r w:rsidRPr="0010230C">
          <w:rPr>
            <w:rStyle w:val="Hipercze"/>
            <w:rFonts w:ascii="Arial" w:hAnsi="Arial" w:cs="Arial"/>
            <w:color w:val="auto"/>
            <w:sz w:val="22"/>
            <w:u w:val="none"/>
          </w:rPr>
          <w:t>https://strategia2030.pomorskie.eu/2023/01/17/zmiana-regionalnego-programu-strategicznego-w-zakresie-gospodarki-rynku-pracy-turystyki-i-oferty-czasu-wolnego-przyjeta/?doing_wp_cron=1674720080.8698089122772216796875</w:t>
        </w:r>
      </w:hyperlink>
    </w:p>
  </w:footnote>
  <w:footnote w:id="17">
    <w:p w14:paraId="420A0E41" w14:textId="77777777" w:rsidR="000033C0" w:rsidRPr="0010230C" w:rsidRDefault="000033C0" w:rsidP="000033C0">
      <w:pPr>
        <w:spacing w:after="0"/>
        <w:contextualSpacing w:val="0"/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Strona internetowa: https://strategia2030.pomorskie.eu/2021/08/03/rps-w-zakresie-bezpieczenstwa-srodowiskowego-i-energetycznego/</w:t>
      </w:r>
    </w:p>
  </w:footnote>
  <w:footnote w:id="18">
    <w:p w14:paraId="432E1B9C" w14:textId="57F90547" w:rsidR="006C50E8" w:rsidRPr="0010230C" w:rsidRDefault="006C50E8">
      <w:pPr>
        <w:pStyle w:val="Tekstprzypisudolnego"/>
        <w:rPr>
          <w:rFonts w:ascii="Arial" w:hAnsi="Arial" w:cs="Arial"/>
          <w:sz w:val="22"/>
          <w:szCs w:val="22"/>
        </w:rPr>
      </w:pPr>
      <w:r w:rsidRPr="0010230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0230C">
        <w:rPr>
          <w:rFonts w:ascii="Arial" w:hAnsi="Arial" w:cs="Arial"/>
          <w:sz w:val="22"/>
          <w:szCs w:val="22"/>
        </w:rPr>
        <w:t xml:space="preserve"> </w:t>
      </w:r>
      <w:r w:rsidRPr="0010230C">
        <w:rPr>
          <w:rFonts w:ascii="Arial" w:eastAsia="SimSun" w:hAnsi="Arial" w:cs="Arial"/>
          <w:sz w:val="22"/>
          <w:szCs w:val="22"/>
          <w:lang w:eastAsia="en-US"/>
        </w:rPr>
        <w:t>Strona internetowa: https://strategia2030.pomorskie.eu/2022/08/31/regionalny-program-strategiczny-w-zakresie-mobilnosci-i-komunikacji-przyjety/</w:t>
      </w:r>
    </w:p>
  </w:footnote>
  <w:footnote w:id="19">
    <w:p w14:paraId="02CF38F8" w14:textId="0E63B3C8" w:rsidR="002D2B75" w:rsidRPr="0010230C" w:rsidRDefault="002D2B75" w:rsidP="002D2B75">
      <w:pPr>
        <w:spacing w:after="0"/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</w:t>
      </w:r>
      <w:r w:rsidR="00D34D14" w:rsidRPr="0010230C">
        <w:rPr>
          <w:rFonts w:ascii="Arial" w:hAnsi="Arial" w:cs="Arial"/>
          <w:sz w:val="22"/>
        </w:rPr>
        <w:t xml:space="preserve">Obecnie trwają prace nad Projektem Planu Gospodarki Odpadami dla Województwa Pomorskiego 2030. </w:t>
      </w:r>
      <w:r w:rsidRPr="0010230C">
        <w:rPr>
          <w:rFonts w:ascii="Arial" w:hAnsi="Arial" w:cs="Arial"/>
          <w:sz w:val="22"/>
        </w:rPr>
        <w:t xml:space="preserve">Strona internetowa: </w:t>
      </w:r>
      <w:hyperlink r:id="rId3" w:history="1">
        <w:r w:rsidRPr="0010230C">
          <w:rPr>
            <w:rStyle w:val="Hipercze"/>
            <w:rFonts w:ascii="Arial" w:hAnsi="Arial" w:cs="Arial"/>
            <w:color w:val="auto"/>
            <w:sz w:val="22"/>
          </w:rPr>
          <w:t>https://bip.pomorskie.eu/m,344,plan-gospodarki-odpadami.html</w:t>
        </w:r>
      </w:hyperlink>
      <w:r w:rsidRPr="0010230C">
        <w:rPr>
          <w:rFonts w:ascii="Arial" w:hAnsi="Arial" w:cs="Arial"/>
          <w:sz w:val="22"/>
        </w:rPr>
        <w:t xml:space="preserve"> </w:t>
      </w:r>
    </w:p>
  </w:footnote>
  <w:footnote w:id="20">
    <w:p w14:paraId="7FB34DF3" w14:textId="77777777" w:rsidR="0071164C" w:rsidRPr="0010230C" w:rsidRDefault="0071164C" w:rsidP="007442A2">
      <w:pPr>
        <w:spacing w:after="0"/>
        <w:rPr>
          <w:rFonts w:ascii="Arial" w:hAnsi="Arial" w:cs="Arial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  <w:vertAlign w:val="superscript"/>
        </w:rPr>
        <w:t xml:space="preserve"> </w:t>
      </w:r>
      <w:r w:rsidRPr="0010230C">
        <w:rPr>
          <w:rFonts w:ascii="Arial" w:hAnsi="Arial" w:cs="Arial"/>
          <w:sz w:val="22"/>
        </w:rPr>
        <w:t>Strona internetowa: https://www.bip.pomorskie.eu/m,463,program-ochrony-srodowiska.html</w:t>
      </w:r>
    </w:p>
  </w:footnote>
  <w:footnote w:id="21">
    <w:p w14:paraId="01D95030" w14:textId="77777777" w:rsidR="0071164C" w:rsidRPr="002D01B7" w:rsidRDefault="0071164C" w:rsidP="0071164C">
      <w:pPr>
        <w:rPr>
          <w:rFonts w:cstheme="minorHAnsi"/>
          <w:sz w:val="22"/>
        </w:rPr>
      </w:pPr>
      <w:r w:rsidRPr="0010230C">
        <w:rPr>
          <w:rStyle w:val="Znakiprzypiswdolnych"/>
          <w:rFonts w:ascii="Arial" w:hAnsi="Arial" w:cs="Arial"/>
          <w:sz w:val="22"/>
          <w:vertAlign w:val="superscript"/>
        </w:rPr>
        <w:footnoteRef/>
      </w:r>
      <w:r w:rsidRPr="0010230C">
        <w:rPr>
          <w:rFonts w:ascii="Arial" w:hAnsi="Arial" w:cs="Arial"/>
          <w:sz w:val="22"/>
        </w:rPr>
        <w:t xml:space="preserve"> Dz. Urz. Woj. Pom. z 27.12.2021 r. poz. 5109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4C487" w14:textId="3F9C8C22" w:rsidR="00BC5E43" w:rsidRDefault="002D3F91">
    <w:pPr>
      <w:ind w:left="1080"/>
      <w:jc w:val="right"/>
    </w:pPr>
    <w:r>
      <w:t xml:space="preserve">sygn. </w:t>
    </w:r>
    <w:r w:rsidR="0010230C">
      <w:t>DRRP-G.7637.50.2025</w:t>
    </w:r>
  </w:p>
  <w:p w14:paraId="06D46F8C" w14:textId="77777777" w:rsidR="00BC5E43" w:rsidRDefault="00BC5E43">
    <w:pPr>
      <w:ind w:left="10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5BB7"/>
    <w:multiLevelType w:val="multilevel"/>
    <w:tmpl w:val="B38A25B0"/>
    <w:styleLink w:val="Styl2"/>
    <w:lvl w:ilvl="0">
      <w:start w:val="1"/>
      <w:numFmt w:val="bullet"/>
      <w:lvlText w:val=""/>
      <w:lvlJc w:val="left"/>
      <w:pPr>
        <w:tabs>
          <w:tab w:val="num" w:pos="0"/>
        </w:tabs>
        <w:ind w:left="92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9C7F67"/>
    <w:multiLevelType w:val="multilevel"/>
    <w:tmpl w:val="E6B0831C"/>
    <w:numStyleLink w:val="Styl1"/>
  </w:abstractNum>
  <w:abstractNum w:abstractNumId="2" w15:restartNumberingAfterBreak="0">
    <w:nsid w:val="01316AD7"/>
    <w:multiLevelType w:val="multilevel"/>
    <w:tmpl w:val="C64C0340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3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5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5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40200B5"/>
    <w:multiLevelType w:val="multilevel"/>
    <w:tmpl w:val="AEF22F9C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57F576C"/>
    <w:multiLevelType w:val="multilevel"/>
    <w:tmpl w:val="B94AE992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4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17B66369"/>
    <w:multiLevelType w:val="multilevel"/>
    <w:tmpl w:val="7AB051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7F924BF"/>
    <w:multiLevelType w:val="multilevel"/>
    <w:tmpl w:val="CF104A1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134" w:hanging="283"/>
      </w:pPr>
      <w:rPr>
        <w:rFonts w:ascii="Symbol" w:hAnsi="Symbol" w:cs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4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1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8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572" w:hanging="180"/>
      </w:pPr>
    </w:lvl>
  </w:abstractNum>
  <w:abstractNum w:abstractNumId="7" w15:restartNumberingAfterBreak="0">
    <w:nsid w:val="2B186050"/>
    <w:multiLevelType w:val="multilevel"/>
    <w:tmpl w:val="585C30A4"/>
    <w:lvl w:ilvl="0">
      <w:start w:val="1"/>
      <w:numFmt w:val="decimal"/>
      <w:pStyle w:val="nagwek2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/>
        <w:b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b/>
        <w:i w:val="0"/>
        <w:outline w:val="0"/>
        <w:shadow w:val="0"/>
        <w:emboss w:val="0"/>
        <w:imprint w:val="0"/>
        <w:sz w:val="24"/>
      </w:rPr>
    </w:lvl>
    <w:lvl w:ilvl="3">
      <w:start w:val="1"/>
      <w:numFmt w:val="decimal"/>
      <w:lvlText w:val="%4)"/>
      <w:lvlJc w:val="left"/>
      <w:pPr>
        <w:tabs>
          <w:tab w:val="num" w:pos="2700"/>
        </w:tabs>
        <w:ind w:left="2700" w:hanging="360"/>
      </w:pPr>
      <w:rPr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B627A75"/>
    <w:multiLevelType w:val="multilevel"/>
    <w:tmpl w:val="54B87D4A"/>
    <w:lvl w:ilvl="0">
      <w:start w:val="9"/>
      <w:numFmt w:val="bullet"/>
      <w:pStyle w:val="Nagwek7"/>
      <w:lvlText w:val="l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C656739"/>
    <w:multiLevelType w:val="multilevel"/>
    <w:tmpl w:val="81425C6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47" w:hanging="396"/>
      </w:pPr>
      <w:rPr>
        <w:rFonts w:ascii="Calibri" w:hAnsi="Calibri"/>
        <w:b w:val="0"/>
        <w:i w:val="0"/>
        <w:sz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531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4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1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8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572" w:hanging="180"/>
      </w:pPr>
    </w:lvl>
  </w:abstractNum>
  <w:abstractNum w:abstractNumId="10" w15:restartNumberingAfterBreak="0">
    <w:nsid w:val="2CA02181"/>
    <w:multiLevelType w:val="multilevel"/>
    <w:tmpl w:val="0A166696"/>
    <w:styleLink w:val="WWNum9"/>
    <w:lvl w:ilvl="0">
      <w:start w:val="1"/>
      <w:numFmt w:val="decimal"/>
      <w:lvlText w:val="%1)"/>
      <w:lvlJc w:val="left"/>
      <w:pPr>
        <w:ind w:left="1211" w:hanging="360"/>
      </w:pPr>
      <w:rPr>
        <w:rFonts w:ascii="Calibri" w:hAnsi="Calibri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931" w:hanging="360"/>
      </w:pPr>
    </w:lvl>
    <w:lvl w:ilvl="2">
      <w:start w:val="1"/>
      <w:numFmt w:val="lowerRoman"/>
      <w:lvlText w:val="%1.%2.%3."/>
      <w:lvlJc w:val="right"/>
      <w:pPr>
        <w:ind w:left="2651" w:hanging="180"/>
      </w:pPr>
    </w:lvl>
    <w:lvl w:ilvl="3">
      <w:start w:val="1"/>
      <w:numFmt w:val="decimal"/>
      <w:lvlText w:val="%1.%2.%3.%4."/>
      <w:lvlJc w:val="left"/>
      <w:pPr>
        <w:ind w:left="3371" w:hanging="360"/>
      </w:pPr>
    </w:lvl>
    <w:lvl w:ilvl="4">
      <w:start w:val="1"/>
      <w:numFmt w:val="lowerLetter"/>
      <w:lvlText w:val="%1.%2.%3.%4.%5."/>
      <w:lvlJc w:val="left"/>
      <w:pPr>
        <w:ind w:left="4091" w:hanging="360"/>
      </w:pPr>
    </w:lvl>
    <w:lvl w:ilvl="5">
      <w:start w:val="1"/>
      <w:numFmt w:val="lowerRoman"/>
      <w:lvlText w:val="%1.%2.%3.%4.%5.%6."/>
      <w:lvlJc w:val="right"/>
      <w:pPr>
        <w:ind w:left="4811" w:hanging="180"/>
      </w:pPr>
    </w:lvl>
    <w:lvl w:ilvl="6">
      <w:start w:val="1"/>
      <w:numFmt w:val="decimal"/>
      <w:lvlText w:val="%1.%2.%3.%4.%5.%6.%7."/>
      <w:lvlJc w:val="left"/>
      <w:pPr>
        <w:ind w:left="5531" w:hanging="360"/>
      </w:pPr>
    </w:lvl>
    <w:lvl w:ilvl="7">
      <w:start w:val="1"/>
      <w:numFmt w:val="lowerLetter"/>
      <w:lvlText w:val="%1.%2.%3.%4.%5.%6.%7.%8."/>
      <w:lvlJc w:val="left"/>
      <w:pPr>
        <w:ind w:left="6251" w:hanging="360"/>
      </w:pPr>
    </w:lvl>
    <w:lvl w:ilvl="8">
      <w:start w:val="1"/>
      <w:numFmt w:val="lowerRoman"/>
      <w:lvlText w:val="%1.%2.%3.%4.%5.%6.%7.%8.%9."/>
      <w:lvlJc w:val="right"/>
      <w:pPr>
        <w:ind w:left="6971" w:hanging="180"/>
      </w:pPr>
    </w:lvl>
  </w:abstractNum>
  <w:abstractNum w:abstractNumId="11" w15:restartNumberingAfterBreak="0">
    <w:nsid w:val="2D252B34"/>
    <w:multiLevelType w:val="multilevel"/>
    <w:tmpl w:val="4BDE00A6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2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0305AD5"/>
    <w:multiLevelType w:val="multilevel"/>
    <w:tmpl w:val="9012A22C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3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4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57577A1"/>
    <w:multiLevelType w:val="multilevel"/>
    <w:tmpl w:val="DAE6297A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6354F80"/>
    <w:multiLevelType w:val="multilevel"/>
    <w:tmpl w:val="5538AA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200FAA"/>
    <w:multiLevelType w:val="multilevel"/>
    <w:tmpl w:val="516C20F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rFonts w:ascii="Calibri" w:hAnsi="Calibri"/>
        <w:b w:val="0"/>
        <w:i w:val="0"/>
        <w:sz w:val="24"/>
      </w:rPr>
    </w:lvl>
    <w:lvl w:ilvl="1">
      <w:numFmt w:val="bullet"/>
      <w:lvlText w:val=""/>
      <w:lvlJc w:val="left"/>
      <w:pPr>
        <w:ind w:left="1134" w:hanging="283"/>
      </w:pPr>
      <w:rPr>
        <w:rFonts w:ascii="Symbol" w:hAnsi="Symbol"/>
        <w:color w:val="auto"/>
      </w:rPr>
    </w:lvl>
    <w:lvl w:ilvl="2">
      <w:start w:val="1"/>
      <w:numFmt w:val="lowerRoman"/>
      <w:lvlText w:val="%1.%2.%3."/>
      <w:lvlJc w:val="right"/>
      <w:pPr>
        <w:ind w:left="252" w:hanging="180"/>
      </w:pPr>
    </w:lvl>
    <w:lvl w:ilvl="3">
      <w:start w:val="1"/>
      <w:numFmt w:val="decimal"/>
      <w:lvlText w:val="%1.%2.%3.%4."/>
      <w:lvlJc w:val="left"/>
      <w:pPr>
        <w:ind w:left="972" w:hanging="360"/>
      </w:pPr>
    </w:lvl>
    <w:lvl w:ilvl="4">
      <w:start w:val="1"/>
      <w:numFmt w:val="lowerLetter"/>
      <w:lvlText w:val="%1.%2.%3.%4.%5."/>
      <w:lvlJc w:val="left"/>
      <w:pPr>
        <w:ind w:left="1692" w:hanging="360"/>
      </w:pPr>
    </w:lvl>
    <w:lvl w:ilvl="5">
      <w:start w:val="1"/>
      <w:numFmt w:val="lowerRoman"/>
      <w:lvlText w:val="%1.%2.%3.%4.%5.%6."/>
      <w:lvlJc w:val="right"/>
      <w:pPr>
        <w:ind w:left="2412" w:hanging="180"/>
      </w:pPr>
    </w:lvl>
    <w:lvl w:ilvl="6">
      <w:start w:val="1"/>
      <w:numFmt w:val="decimal"/>
      <w:lvlText w:val="%1.%2.%3.%4.%5.%6.%7."/>
      <w:lvlJc w:val="left"/>
      <w:pPr>
        <w:ind w:left="3132" w:hanging="360"/>
      </w:pPr>
    </w:lvl>
    <w:lvl w:ilvl="7">
      <w:start w:val="1"/>
      <w:numFmt w:val="lowerLetter"/>
      <w:lvlText w:val="%1.%2.%3.%4.%5.%6.%7.%8."/>
      <w:lvlJc w:val="left"/>
      <w:pPr>
        <w:ind w:left="3852" w:hanging="360"/>
      </w:pPr>
    </w:lvl>
    <w:lvl w:ilvl="8">
      <w:start w:val="1"/>
      <w:numFmt w:val="lowerRoman"/>
      <w:lvlText w:val="%1.%2.%3.%4.%5.%6.%7.%8.%9."/>
      <w:lvlJc w:val="right"/>
      <w:pPr>
        <w:ind w:left="4572" w:hanging="180"/>
      </w:pPr>
    </w:lvl>
  </w:abstractNum>
  <w:abstractNum w:abstractNumId="16" w15:restartNumberingAfterBreak="0">
    <w:nsid w:val="3B5B4237"/>
    <w:multiLevelType w:val="multilevel"/>
    <w:tmpl w:val="8946ED98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D995074"/>
    <w:multiLevelType w:val="multilevel"/>
    <w:tmpl w:val="2EFA766A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5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3DF47C7C"/>
    <w:multiLevelType w:val="multilevel"/>
    <w:tmpl w:val="238AE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4124477E"/>
    <w:multiLevelType w:val="multilevel"/>
    <w:tmpl w:val="E6B0831C"/>
    <w:styleLink w:val="Styl1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18710DB"/>
    <w:multiLevelType w:val="multilevel"/>
    <w:tmpl w:val="8E861CC6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41FD575D"/>
    <w:multiLevelType w:val="multilevel"/>
    <w:tmpl w:val="0415001D"/>
    <w:styleLink w:val="Styl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34D2125"/>
    <w:multiLevelType w:val="multilevel"/>
    <w:tmpl w:val="5DB8BF6C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47" w:hanging="396"/>
      </w:pPr>
      <w:rPr>
        <w:rFonts w:ascii="Calibri" w:hAnsi="Calibri"/>
        <w:b w:val="0"/>
        <w:i w:val="0"/>
        <w:sz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531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4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1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8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572" w:hanging="180"/>
      </w:pPr>
    </w:lvl>
  </w:abstractNum>
  <w:abstractNum w:abstractNumId="23" w15:restartNumberingAfterBreak="0">
    <w:nsid w:val="43A00CA3"/>
    <w:multiLevelType w:val="multilevel"/>
    <w:tmpl w:val="6C5206DE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5A9209C"/>
    <w:multiLevelType w:val="multilevel"/>
    <w:tmpl w:val="ECC4A8A0"/>
    <w:styleLink w:val="Styl7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200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45B3273B"/>
    <w:multiLevelType w:val="multilevel"/>
    <w:tmpl w:val="525E5924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2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4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C02322F"/>
    <w:multiLevelType w:val="multilevel"/>
    <w:tmpl w:val="CE6EE754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D155C3B"/>
    <w:multiLevelType w:val="multilevel"/>
    <w:tmpl w:val="5DB2EBB8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2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5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503005A0"/>
    <w:multiLevelType w:val="multilevel"/>
    <w:tmpl w:val="51D485BA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 w15:restartNumberingAfterBreak="0">
    <w:nsid w:val="53216AD6"/>
    <w:multiLevelType w:val="hybridMultilevel"/>
    <w:tmpl w:val="F3303090"/>
    <w:lvl w:ilvl="0" w:tplc="787A7E1C">
      <w:start w:val="1"/>
      <w:numFmt w:val="bullet"/>
      <w:pStyle w:val="styl5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3169D"/>
    <w:multiLevelType w:val="multilevel"/>
    <w:tmpl w:val="8E861CC6"/>
    <w:styleLink w:val="Styl3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5907306C"/>
    <w:multiLevelType w:val="multilevel"/>
    <w:tmpl w:val="9304AD3C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47" w:hanging="396"/>
      </w:pPr>
      <w:rPr>
        <w:rFonts w:ascii="Calibri" w:hAnsi="Calibri"/>
        <w:b w:val="0"/>
        <w:i w:val="0"/>
        <w:sz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531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4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1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8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572" w:hanging="180"/>
      </w:pPr>
    </w:lvl>
  </w:abstractNum>
  <w:abstractNum w:abstractNumId="32" w15:restartNumberingAfterBreak="0">
    <w:nsid w:val="6B5D14C9"/>
    <w:multiLevelType w:val="multilevel"/>
    <w:tmpl w:val="75C0D536"/>
    <w:lvl w:ilvl="0">
      <w:start w:val="1"/>
      <w:numFmt w:val="bullet"/>
      <w:pStyle w:val="Styl50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 w15:restartNumberingAfterBreak="0">
    <w:nsid w:val="6BBC5EDA"/>
    <w:multiLevelType w:val="multilevel"/>
    <w:tmpl w:val="FABCA8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Lato" w:hAnsi="Lato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2D0584C"/>
    <w:multiLevelType w:val="multilevel"/>
    <w:tmpl w:val="A06A8BC4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2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4E67DE7"/>
    <w:multiLevelType w:val="multilevel"/>
    <w:tmpl w:val="CE6EE754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765F6FD1"/>
    <w:multiLevelType w:val="multilevel"/>
    <w:tmpl w:val="5EEE43BA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773574AB"/>
    <w:multiLevelType w:val="multilevel"/>
    <w:tmpl w:val="2DD83F56"/>
    <w:lvl w:ilvl="0">
      <w:start w:val="1"/>
      <w:numFmt w:val="bullet"/>
      <w:lvlText w:val=""/>
      <w:lvlJc w:val="left"/>
      <w:pPr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18" w:hanging="511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588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454"/>
      </w:pPr>
      <w:rPr>
        <w:rFonts w:asciiTheme="minorHAnsi" w:hAnsiTheme="minorHAnsi" w:hint="default"/>
      </w:rPr>
    </w:lvl>
    <w:lvl w:ilvl="4">
      <w:start w:val="1"/>
      <w:numFmt w:val="bullet"/>
      <w:lvlText w:val=""/>
      <w:lvlJc w:val="left"/>
      <w:pPr>
        <w:ind w:left="4168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33"/>
  </w:num>
  <w:num w:numId="5">
    <w:abstractNumId w:val="6"/>
  </w:num>
  <w:num w:numId="6">
    <w:abstractNumId w:val="31"/>
  </w:num>
  <w:num w:numId="7">
    <w:abstractNumId w:val="9"/>
  </w:num>
  <w:num w:numId="8">
    <w:abstractNumId w:val="22"/>
  </w:num>
  <w:num w:numId="9">
    <w:abstractNumId w:val="24"/>
  </w:num>
  <w:num w:numId="10">
    <w:abstractNumId w:val="21"/>
  </w:num>
  <w:num w:numId="11">
    <w:abstractNumId w:val="19"/>
  </w:num>
  <w:num w:numId="12">
    <w:abstractNumId w:val="0"/>
  </w:num>
  <w:num w:numId="13">
    <w:abstractNumId w:val="16"/>
  </w:num>
  <w:num w:numId="14">
    <w:abstractNumId w:val="36"/>
  </w:num>
  <w:num w:numId="15">
    <w:abstractNumId w:val="37"/>
  </w:num>
  <w:num w:numId="16">
    <w:abstractNumId w:val="20"/>
  </w:num>
  <w:num w:numId="17">
    <w:abstractNumId w:val="17"/>
  </w:num>
  <w:num w:numId="18">
    <w:abstractNumId w:val="26"/>
  </w:num>
  <w:num w:numId="19">
    <w:abstractNumId w:val="35"/>
  </w:num>
  <w:num w:numId="20">
    <w:abstractNumId w:val="28"/>
  </w:num>
  <w:num w:numId="21">
    <w:abstractNumId w:val="13"/>
  </w:num>
  <w:num w:numId="22">
    <w:abstractNumId w:val="5"/>
  </w:num>
  <w:num w:numId="23">
    <w:abstractNumId w:val="1"/>
  </w:num>
  <w:num w:numId="24">
    <w:abstractNumId w:val="32"/>
  </w:num>
  <w:num w:numId="25">
    <w:abstractNumId w:val="3"/>
  </w:num>
  <w:num w:numId="26">
    <w:abstractNumId w:val="34"/>
  </w:num>
  <w:num w:numId="27">
    <w:abstractNumId w:val="12"/>
  </w:num>
  <w:num w:numId="28">
    <w:abstractNumId w:val="4"/>
  </w:num>
  <w:num w:numId="29">
    <w:abstractNumId w:val="18"/>
  </w:num>
  <w:num w:numId="30">
    <w:abstractNumId w:val="11"/>
  </w:num>
  <w:num w:numId="31">
    <w:abstractNumId w:val="10"/>
  </w:num>
  <w:num w:numId="32">
    <w:abstractNumId w:val="29"/>
  </w:num>
  <w:num w:numId="33">
    <w:abstractNumId w:val="15"/>
  </w:num>
  <w:num w:numId="34">
    <w:abstractNumId w:val="23"/>
  </w:num>
  <w:num w:numId="35">
    <w:abstractNumId w:val="30"/>
  </w:num>
  <w:num w:numId="36">
    <w:abstractNumId w:val="25"/>
  </w:num>
  <w:num w:numId="37">
    <w:abstractNumId w:val="27"/>
  </w:num>
  <w:num w:numId="38">
    <w:abstractNumId w:val="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E43"/>
    <w:rsid w:val="00000A57"/>
    <w:rsid w:val="00000F83"/>
    <w:rsid w:val="000017DC"/>
    <w:rsid w:val="00003139"/>
    <w:rsid w:val="00003367"/>
    <w:rsid w:val="000033C0"/>
    <w:rsid w:val="00006BE3"/>
    <w:rsid w:val="00006F17"/>
    <w:rsid w:val="00007858"/>
    <w:rsid w:val="00012CAB"/>
    <w:rsid w:val="00013EC8"/>
    <w:rsid w:val="000167AA"/>
    <w:rsid w:val="0001687F"/>
    <w:rsid w:val="0001721F"/>
    <w:rsid w:val="000225E9"/>
    <w:rsid w:val="00023FA7"/>
    <w:rsid w:val="00024B19"/>
    <w:rsid w:val="00024D67"/>
    <w:rsid w:val="00025833"/>
    <w:rsid w:val="00026701"/>
    <w:rsid w:val="0002678B"/>
    <w:rsid w:val="00027279"/>
    <w:rsid w:val="00031156"/>
    <w:rsid w:val="000313C5"/>
    <w:rsid w:val="000340F0"/>
    <w:rsid w:val="000343D0"/>
    <w:rsid w:val="000409C1"/>
    <w:rsid w:val="00040C4A"/>
    <w:rsid w:val="00040CF0"/>
    <w:rsid w:val="00040E9B"/>
    <w:rsid w:val="000427EA"/>
    <w:rsid w:val="00047D63"/>
    <w:rsid w:val="000514B2"/>
    <w:rsid w:val="000535A6"/>
    <w:rsid w:val="00065A2C"/>
    <w:rsid w:val="00066CEE"/>
    <w:rsid w:val="000703CC"/>
    <w:rsid w:val="000732E2"/>
    <w:rsid w:val="0007396B"/>
    <w:rsid w:val="0007466A"/>
    <w:rsid w:val="00075B4E"/>
    <w:rsid w:val="0007602D"/>
    <w:rsid w:val="000765C9"/>
    <w:rsid w:val="00076FAF"/>
    <w:rsid w:val="000814A1"/>
    <w:rsid w:val="00081D5D"/>
    <w:rsid w:val="00082B9D"/>
    <w:rsid w:val="00084BAF"/>
    <w:rsid w:val="000853D9"/>
    <w:rsid w:val="00091F0B"/>
    <w:rsid w:val="00092A37"/>
    <w:rsid w:val="000A0A75"/>
    <w:rsid w:val="000A21B2"/>
    <w:rsid w:val="000A36DA"/>
    <w:rsid w:val="000A3F51"/>
    <w:rsid w:val="000A4882"/>
    <w:rsid w:val="000A6247"/>
    <w:rsid w:val="000A7A1B"/>
    <w:rsid w:val="000A7CE5"/>
    <w:rsid w:val="000B18A6"/>
    <w:rsid w:val="000B26B7"/>
    <w:rsid w:val="000B3B0C"/>
    <w:rsid w:val="000B4AE6"/>
    <w:rsid w:val="000B53A2"/>
    <w:rsid w:val="000B568B"/>
    <w:rsid w:val="000B5DDD"/>
    <w:rsid w:val="000C1CC4"/>
    <w:rsid w:val="000C463C"/>
    <w:rsid w:val="000C4D85"/>
    <w:rsid w:val="000C57AC"/>
    <w:rsid w:val="000C5F70"/>
    <w:rsid w:val="000D502C"/>
    <w:rsid w:val="000D6A28"/>
    <w:rsid w:val="000D77F6"/>
    <w:rsid w:val="000E16CA"/>
    <w:rsid w:val="000E293F"/>
    <w:rsid w:val="000E44B6"/>
    <w:rsid w:val="000E55D0"/>
    <w:rsid w:val="000E5EB2"/>
    <w:rsid w:val="000E68FD"/>
    <w:rsid w:val="000F30A0"/>
    <w:rsid w:val="000F4DA2"/>
    <w:rsid w:val="00100676"/>
    <w:rsid w:val="0010230C"/>
    <w:rsid w:val="001035A6"/>
    <w:rsid w:val="0010759F"/>
    <w:rsid w:val="00112C31"/>
    <w:rsid w:val="001133F6"/>
    <w:rsid w:val="001139CF"/>
    <w:rsid w:val="00114A81"/>
    <w:rsid w:val="001164AB"/>
    <w:rsid w:val="001208BC"/>
    <w:rsid w:val="00120A5F"/>
    <w:rsid w:val="00123EE2"/>
    <w:rsid w:val="00131565"/>
    <w:rsid w:val="001323B5"/>
    <w:rsid w:val="0013358E"/>
    <w:rsid w:val="00136208"/>
    <w:rsid w:val="00141148"/>
    <w:rsid w:val="0014224A"/>
    <w:rsid w:val="0014242E"/>
    <w:rsid w:val="00153E8C"/>
    <w:rsid w:val="00155EB1"/>
    <w:rsid w:val="00162237"/>
    <w:rsid w:val="0016293D"/>
    <w:rsid w:val="0016338D"/>
    <w:rsid w:val="00163C45"/>
    <w:rsid w:val="00164FBD"/>
    <w:rsid w:val="001651CC"/>
    <w:rsid w:val="00165D6A"/>
    <w:rsid w:val="001670F1"/>
    <w:rsid w:val="001722AE"/>
    <w:rsid w:val="00172C7E"/>
    <w:rsid w:val="00172F70"/>
    <w:rsid w:val="001732F9"/>
    <w:rsid w:val="0017546E"/>
    <w:rsid w:val="001801B1"/>
    <w:rsid w:val="00180D14"/>
    <w:rsid w:val="00181F50"/>
    <w:rsid w:val="0018717C"/>
    <w:rsid w:val="00197465"/>
    <w:rsid w:val="001A2E71"/>
    <w:rsid w:val="001B02C8"/>
    <w:rsid w:val="001B2279"/>
    <w:rsid w:val="001B31D7"/>
    <w:rsid w:val="001B3CEB"/>
    <w:rsid w:val="001B4A96"/>
    <w:rsid w:val="001B53D4"/>
    <w:rsid w:val="001B5777"/>
    <w:rsid w:val="001C0C81"/>
    <w:rsid w:val="001C0F90"/>
    <w:rsid w:val="001C1BB9"/>
    <w:rsid w:val="001C3369"/>
    <w:rsid w:val="001C33A0"/>
    <w:rsid w:val="001C462C"/>
    <w:rsid w:val="001C4665"/>
    <w:rsid w:val="001C4C6B"/>
    <w:rsid w:val="001C5B9A"/>
    <w:rsid w:val="001C62D4"/>
    <w:rsid w:val="001D0605"/>
    <w:rsid w:val="001D4013"/>
    <w:rsid w:val="001D4FEF"/>
    <w:rsid w:val="001D53CA"/>
    <w:rsid w:val="001D5E1C"/>
    <w:rsid w:val="001E0954"/>
    <w:rsid w:val="001E0FFF"/>
    <w:rsid w:val="001E2992"/>
    <w:rsid w:val="001E2F20"/>
    <w:rsid w:val="001E38CF"/>
    <w:rsid w:val="001E56DD"/>
    <w:rsid w:val="001E6944"/>
    <w:rsid w:val="001F1139"/>
    <w:rsid w:val="001F1849"/>
    <w:rsid w:val="001F1DC2"/>
    <w:rsid w:val="002008E2"/>
    <w:rsid w:val="00200AD7"/>
    <w:rsid w:val="00200CC9"/>
    <w:rsid w:val="0021328F"/>
    <w:rsid w:val="002156DF"/>
    <w:rsid w:val="002302DF"/>
    <w:rsid w:val="00230397"/>
    <w:rsid w:val="0023067D"/>
    <w:rsid w:val="00237CD4"/>
    <w:rsid w:val="00243A9D"/>
    <w:rsid w:val="002513A5"/>
    <w:rsid w:val="00251D78"/>
    <w:rsid w:val="00253DF1"/>
    <w:rsid w:val="0025578D"/>
    <w:rsid w:val="00263B12"/>
    <w:rsid w:val="002649C5"/>
    <w:rsid w:val="00265240"/>
    <w:rsid w:val="002652F3"/>
    <w:rsid w:val="002677EC"/>
    <w:rsid w:val="002705C0"/>
    <w:rsid w:val="00270929"/>
    <w:rsid w:val="00271210"/>
    <w:rsid w:val="00272E03"/>
    <w:rsid w:val="00274039"/>
    <w:rsid w:val="00276689"/>
    <w:rsid w:val="00280271"/>
    <w:rsid w:val="00282AED"/>
    <w:rsid w:val="00282E27"/>
    <w:rsid w:val="0028452C"/>
    <w:rsid w:val="0028543F"/>
    <w:rsid w:val="00286662"/>
    <w:rsid w:val="00286801"/>
    <w:rsid w:val="00286F5E"/>
    <w:rsid w:val="00287D0F"/>
    <w:rsid w:val="00290430"/>
    <w:rsid w:val="00290695"/>
    <w:rsid w:val="00293825"/>
    <w:rsid w:val="00293CF7"/>
    <w:rsid w:val="00294D72"/>
    <w:rsid w:val="002973DF"/>
    <w:rsid w:val="002979BA"/>
    <w:rsid w:val="002A2B62"/>
    <w:rsid w:val="002A304D"/>
    <w:rsid w:val="002A4363"/>
    <w:rsid w:val="002A4E9B"/>
    <w:rsid w:val="002A6AD9"/>
    <w:rsid w:val="002A73FB"/>
    <w:rsid w:val="002A79BC"/>
    <w:rsid w:val="002B282B"/>
    <w:rsid w:val="002B30DE"/>
    <w:rsid w:val="002B3BAC"/>
    <w:rsid w:val="002B3D2A"/>
    <w:rsid w:val="002B4F4E"/>
    <w:rsid w:val="002B66D3"/>
    <w:rsid w:val="002B6A6A"/>
    <w:rsid w:val="002C3C38"/>
    <w:rsid w:val="002C432C"/>
    <w:rsid w:val="002C43ED"/>
    <w:rsid w:val="002C518A"/>
    <w:rsid w:val="002D01B7"/>
    <w:rsid w:val="002D2B75"/>
    <w:rsid w:val="002D3F91"/>
    <w:rsid w:val="002D57B2"/>
    <w:rsid w:val="002D7895"/>
    <w:rsid w:val="002E14B7"/>
    <w:rsid w:val="002E46C5"/>
    <w:rsid w:val="002E50F3"/>
    <w:rsid w:val="002E70FE"/>
    <w:rsid w:val="002F3E0F"/>
    <w:rsid w:val="002F55A5"/>
    <w:rsid w:val="00301429"/>
    <w:rsid w:val="00306B1C"/>
    <w:rsid w:val="00310248"/>
    <w:rsid w:val="0031188B"/>
    <w:rsid w:val="003123C4"/>
    <w:rsid w:val="00314730"/>
    <w:rsid w:val="00314F49"/>
    <w:rsid w:val="00316346"/>
    <w:rsid w:val="0031729B"/>
    <w:rsid w:val="003200E6"/>
    <w:rsid w:val="00322332"/>
    <w:rsid w:val="00323118"/>
    <w:rsid w:val="003232D3"/>
    <w:rsid w:val="0032531A"/>
    <w:rsid w:val="003275EE"/>
    <w:rsid w:val="00330EA1"/>
    <w:rsid w:val="00332D1C"/>
    <w:rsid w:val="003375A9"/>
    <w:rsid w:val="00343835"/>
    <w:rsid w:val="00344D4A"/>
    <w:rsid w:val="003460E9"/>
    <w:rsid w:val="00346951"/>
    <w:rsid w:val="00350D06"/>
    <w:rsid w:val="0035591C"/>
    <w:rsid w:val="00356368"/>
    <w:rsid w:val="00357F31"/>
    <w:rsid w:val="00360CDB"/>
    <w:rsid w:val="00361DF2"/>
    <w:rsid w:val="003624CC"/>
    <w:rsid w:val="00363B84"/>
    <w:rsid w:val="003642A9"/>
    <w:rsid w:val="00364DA8"/>
    <w:rsid w:val="003651FA"/>
    <w:rsid w:val="003657A4"/>
    <w:rsid w:val="00366748"/>
    <w:rsid w:val="00370704"/>
    <w:rsid w:val="00372B74"/>
    <w:rsid w:val="003743E9"/>
    <w:rsid w:val="0037494F"/>
    <w:rsid w:val="00375CED"/>
    <w:rsid w:val="003763EE"/>
    <w:rsid w:val="00376F6B"/>
    <w:rsid w:val="00384A1A"/>
    <w:rsid w:val="003861EE"/>
    <w:rsid w:val="00387EE0"/>
    <w:rsid w:val="00387FED"/>
    <w:rsid w:val="00391DE3"/>
    <w:rsid w:val="00392101"/>
    <w:rsid w:val="00397ED4"/>
    <w:rsid w:val="003A0B64"/>
    <w:rsid w:val="003A1747"/>
    <w:rsid w:val="003A2F8F"/>
    <w:rsid w:val="003A4642"/>
    <w:rsid w:val="003A691B"/>
    <w:rsid w:val="003B12DE"/>
    <w:rsid w:val="003B3D87"/>
    <w:rsid w:val="003B5968"/>
    <w:rsid w:val="003B7505"/>
    <w:rsid w:val="003B7A1C"/>
    <w:rsid w:val="003C06F2"/>
    <w:rsid w:val="003C0C62"/>
    <w:rsid w:val="003C166D"/>
    <w:rsid w:val="003C18D5"/>
    <w:rsid w:val="003C2F01"/>
    <w:rsid w:val="003C46B3"/>
    <w:rsid w:val="003C7AF7"/>
    <w:rsid w:val="003D0C75"/>
    <w:rsid w:val="003D20F1"/>
    <w:rsid w:val="003D3AF5"/>
    <w:rsid w:val="003E122C"/>
    <w:rsid w:val="003E389F"/>
    <w:rsid w:val="003E4D4D"/>
    <w:rsid w:val="003E5D2C"/>
    <w:rsid w:val="003E730B"/>
    <w:rsid w:val="003E76AE"/>
    <w:rsid w:val="003F01CA"/>
    <w:rsid w:val="003F202D"/>
    <w:rsid w:val="003F368E"/>
    <w:rsid w:val="003F4081"/>
    <w:rsid w:val="003F5595"/>
    <w:rsid w:val="003F7F35"/>
    <w:rsid w:val="00400AE1"/>
    <w:rsid w:val="00401399"/>
    <w:rsid w:val="00402736"/>
    <w:rsid w:val="00403016"/>
    <w:rsid w:val="004039D5"/>
    <w:rsid w:val="004073C1"/>
    <w:rsid w:val="00412881"/>
    <w:rsid w:val="00412E7C"/>
    <w:rsid w:val="0041336E"/>
    <w:rsid w:val="00413805"/>
    <w:rsid w:val="00416009"/>
    <w:rsid w:val="0042276A"/>
    <w:rsid w:val="004253AE"/>
    <w:rsid w:val="00426868"/>
    <w:rsid w:val="004320C2"/>
    <w:rsid w:val="00440D4E"/>
    <w:rsid w:val="00441676"/>
    <w:rsid w:val="004453EA"/>
    <w:rsid w:val="00445D1D"/>
    <w:rsid w:val="00446107"/>
    <w:rsid w:val="00446DA4"/>
    <w:rsid w:val="004471F4"/>
    <w:rsid w:val="00451703"/>
    <w:rsid w:val="00452EF2"/>
    <w:rsid w:val="00453B04"/>
    <w:rsid w:val="00453B4C"/>
    <w:rsid w:val="00454E87"/>
    <w:rsid w:val="00456D60"/>
    <w:rsid w:val="00460B35"/>
    <w:rsid w:val="004622D1"/>
    <w:rsid w:val="00462460"/>
    <w:rsid w:val="004627A8"/>
    <w:rsid w:val="004673D9"/>
    <w:rsid w:val="00467813"/>
    <w:rsid w:val="00467E6A"/>
    <w:rsid w:val="00470949"/>
    <w:rsid w:val="00472714"/>
    <w:rsid w:val="0047538E"/>
    <w:rsid w:val="0047771B"/>
    <w:rsid w:val="004804E8"/>
    <w:rsid w:val="004816E2"/>
    <w:rsid w:val="00481D6E"/>
    <w:rsid w:val="004820C8"/>
    <w:rsid w:val="0048389E"/>
    <w:rsid w:val="0048524E"/>
    <w:rsid w:val="004864CE"/>
    <w:rsid w:val="00492956"/>
    <w:rsid w:val="0049353B"/>
    <w:rsid w:val="0049634B"/>
    <w:rsid w:val="00496C03"/>
    <w:rsid w:val="004A05BD"/>
    <w:rsid w:val="004A1D71"/>
    <w:rsid w:val="004A3481"/>
    <w:rsid w:val="004A3A1F"/>
    <w:rsid w:val="004A41C9"/>
    <w:rsid w:val="004A6685"/>
    <w:rsid w:val="004A7D7F"/>
    <w:rsid w:val="004B0513"/>
    <w:rsid w:val="004B0521"/>
    <w:rsid w:val="004B0982"/>
    <w:rsid w:val="004B423B"/>
    <w:rsid w:val="004B729F"/>
    <w:rsid w:val="004B7FCE"/>
    <w:rsid w:val="004C0D01"/>
    <w:rsid w:val="004C1541"/>
    <w:rsid w:val="004C4E7A"/>
    <w:rsid w:val="004C6F93"/>
    <w:rsid w:val="004C764F"/>
    <w:rsid w:val="004D4373"/>
    <w:rsid w:val="004D492F"/>
    <w:rsid w:val="004D4FE2"/>
    <w:rsid w:val="004D5CDA"/>
    <w:rsid w:val="004D6065"/>
    <w:rsid w:val="004D64EF"/>
    <w:rsid w:val="004D673F"/>
    <w:rsid w:val="004D73B7"/>
    <w:rsid w:val="004D73F6"/>
    <w:rsid w:val="004E0CE0"/>
    <w:rsid w:val="004E1FCC"/>
    <w:rsid w:val="004E687C"/>
    <w:rsid w:val="004E7554"/>
    <w:rsid w:val="004F08E0"/>
    <w:rsid w:val="004F3AD4"/>
    <w:rsid w:val="004F7ADC"/>
    <w:rsid w:val="0050028A"/>
    <w:rsid w:val="0050105F"/>
    <w:rsid w:val="00503906"/>
    <w:rsid w:val="005042DF"/>
    <w:rsid w:val="005056E3"/>
    <w:rsid w:val="005057AF"/>
    <w:rsid w:val="00506D21"/>
    <w:rsid w:val="005104BF"/>
    <w:rsid w:val="00510E4C"/>
    <w:rsid w:val="00513EB5"/>
    <w:rsid w:val="005177DA"/>
    <w:rsid w:val="005220B3"/>
    <w:rsid w:val="005234C2"/>
    <w:rsid w:val="0052370B"/>
    <w:rsid w:val="00523B86"/>
    <w:rsid w:val="00524D06"/>
    <w:rsid w:val="00524F87"/>
    <w:rsid w:val="00530787"/>
    <w:rsid w:val="00530BBF"/>
    <w:rsid w:val="005314BF"/>
    <w:rsid w:val="0053467B"/>
    <w:rsid w:val="00535BEA"/>
    <w:rsid w:val="00541587"/>
    <w:rsid w:val="005415BD"/>
    <w:rsid w:val="0054170F"/>
    <w:rsid w:val="0054557A"/>
    <w:rsid w:val="00546C2A"/>
    <w:rsid w:val="00547318"/>
    <w:rsid w:val="00552435"/>
    <w:rsid w:val="00554B79"/>
    <w:rsid w:val="00555BB5"/>
    <w:rsid w:val="00561861"/>
    <w:rsid w:val="00561A4C"/>
    <w:rsid w:val="005661C1"/>
    <w:rsid w:val="005674AA"/>
    <w:rsid w:val="00570D3F"/>
    <w:rsid w:val="005715FE"/>
    <w:rsid w:val="00572845"/>
    <w:rsid w:val="0057311F"/>
    <w:rsid w:val="00574362"/>
    <w:rsid w:val="00580B48"/>
    <w:rsid w:val="00581573"/>
    <w:rsid w:val="005843D3"/>
    <w:rsid w:val="00584E07"/>
    <w:rsid w:val="00586172"/>
    <w:rsid w:val="00586D4D"/>
    <w:rsid w:val="00586F82"/>
    <w:rsid w:val="00587492"/>
    <w:rsid w:val="005876E4"/>
    <w:rsid w:val="00587BD1"/>
    <w:rsid w:val="00594BDB"/>
    <w:rsid w:val="00595AEB"/>
    <w:rsid w:val="005A2545"/>
    <w:rsid w:val="005A2882"/>
    <w:rsid w:val="005A2A11"/>
    <w:rsid w:val="005A3409"/>
    <w:rsid w:val="005A45E7"/>
    <w:rsid w:val="005A4CC4"/>
    <w:rsid w:val="005A50E5"/>
    <w:rsid w:val="005A7633"/>
    <w:rsid w:val="005B4E20"/>
    <w:rsid w:val="005B4FD6"/>
    <w:rsid w:val="005B69C7"/>
    <w:rsid w:val="005B78BB"/>
    <w:rsid w:val="005B7C28"/>
    <w:rsid w:val="005C31B9"/>
    <w:rsid w:val="005C4919"/>
    <w:rsid w:val="005C4BE4"/>
    <w:rsid w:val="005D1F51"/>
    <w:rsid w:val="005D26A6"/>
    <w:rsid w:val="005D271F"/>
    <w:rsid w:val="005D4636"/>
    <w:rsid w:val="005D4A7C"/>
    <w:rsid w:val="005D540C"/>
    <w:rsid w:val="005D6BF9"/>
    <w:rsid w:val="005D75BC"/>
    <w:rsid w:val="005E11A4"/>
    <w:rsid w:val="005E5F5B"/>
    <w:rsid w:val="005E62A1"/>
    <w:rsid w:val="005F05EC"/>
    <w:rsid w:val="005F061F"/>
    <w:rsid w:val="005F254A"/>
    <w:rsid w:val="005F3500"/>
    <w:rsid w:val="005F4874"/>
    <w:rsid w:val="005F6B9B"/>
    <w:rsid w:val="00600CA0"/>
    <w:rsid w:val="0060305E"/>
    <w:rsid w:val="00604B42"/>
    <w:rsid w:val="00605504"/>
    <w:rsid w:val="0060616D"/>
    <w:rsid w:val="0060725B"/>
    <w:rsid w:val="006105E4"/>
    <w:rsid w:val="00611942"/>
    <w:rsid w:val="00612157"/>
    <w:rsid w:val="0061361B"/>
    <w:rsid w:val="00613DEA"/>
    <w:rsid w:val="00622A43"/>
    <w:rsid w:val="00626A0C"/>
    <w:rsid w:val="00631C72"/>
    <w:rsid w:val="00632EF1"/>
    <w:rsid w:val="00633CDD"/>
    <w:rsid w:val="00634C0D"/>
    <w:rsid w:val="0063649B"/>
    <w:rsid w:val="00640827"/>
    <w:rsid w:val="00642568"/>
    <w:rsid w:val="0064432D"/>
    <w:rsid w:val="006446FB"/>
    <w:rsid w:val="00644753"/>
    <w:rsid w:val="00644E40"/>
    <w:rsid w:val="00646F9F"/>
    <w:rsid w:val="006522DE"/>
    <w:rsid w:val="00656592"/>
    <w:rsid w:val="00656CFD"/>
    <w:rsid w:val="006601AE"/>
    <w:rsid w:val="00661305"/>
    <w:rsid w:val="006642BB"/>
    <w:rsid w:val="00667023"/>
    <w:rsid w:val="0066704E"/>
    <w:rsid w:val="0066785C"/>
    <w:rsid w:val="0067059B"/>
    <w:rsid w:val="00670934"/>
    <w:rsid w:val="006730CB"/>
    <w:rsid w:val="0068006C"/>
    <w:rsid w:val="0068032F"/>
    <w:rsid w:val="00680CF4"/>
    <w:rsid w:val="00687DA0"/>
    <w:rsid w:val="00690D9D"/>
    <w:rsid w:val="00690DC9"/>
    <w:rsid w:val="0069183F"/>
    <w:rsid w:val="006921E5"/>
    <w:rsid w:val="006942C7"/>
    <w:rsid w:val="006948B3"/>
    <w:rsid w:val="006A1C30"/>
    <w:rsid w:val="006A22C1"/>
    <w:rsid w:val="006A37E3"/>
    <w:rsid w:val="006A6110"/>
    <w:rsid w:val="006B03FF"/>
    <w:rsid w:val="006B0B9D"/>
    <w:rsid w:val="006B71CF"/>
    <w:rsid w:val="006C1DE2"/>
    <w:rsid w:val="006C228A"/>
    <w:rsid w:val="006C38AC"/>
    <w:rsid w:val="006C41E1"/>
    <w:rsid w:val="006C50E8"/>
    <w:rsid w:val="006C6BED"/>
    <w:rsid w:val="006D49EB"/>
    <w:rsid w:val="006D7A04"/>
    <w:rsid w:val="006E09E6"/>
    <w:rsid w:val="006E3B6D"/>
    <w:rsid w:val="006E4337"/>
    <w:rsid w:val="006F0895"/>
    <w:rsid w:val="006F2D00"/>
    <w:rsid w:val="006F551C"/>
    <w:rsid w:val="00701116"/>
    <w:rsid w:val="007045E3"/>
    <w:rsid w:val="00704ADF"/>
    <w:rsid w:val="00705DDB"/>
    <w:rsid w:val="00707EFC"/>
    <w:rsid w:val="00710922"/>
    <w:rsid w:val="0071164C"/>
    <w:rsid w:val="0071403B"/>
    <w:rsid w:val="00717B12"/>
    <w:rsid w:val="00720CD3"/>
    <w:rsid w:val="00722D91"/>
    <w:rsid w:val="00726E39"/>
    <w:rsid w:val="00731E60"/>
    <w:rsid w:val="00732C27"/>
    <w:rsid w:val="0073392E"/>
    <w:rsid w:val="0073500D"/>
    <w:rsid w:val="007358EB"/>
    <w:rsid w:val="00736E81"/>
    <w:rsid w:val="0073761A"/>
    <w:rsid w:val="00743873"/>
    <w:rsid w:val="007442A2"/>
    <w:rsid w:val="007442F4"/>
    <w:rsid w:val="00751D27"/>
    <w:rsid w:val="0075204F"/>
    <w:rsid w:val="0075300C"/>
    <w:rsid w:val="007530D0"/>
    <w:rsid w:val="00755E03"/>
    <w:rsid w:val="007606FF"/>
    <w:rsid w:val="00760AFA"/>
    <w:rsid w:val="00760F95"/>
    <w:rsid w:val="0076191B"/>
    <w:rsid w:val="007625C3"/>
    <w:rsid w:val="007666F3"/>
    <w:rsid w:val="00766EF5"/>
    <w:rsid w:val="00770169"/>
    <w:rsid w:val="0077062C"/>
    <w:rsid w:val="0077268B"/>
    <w:rsid w:val="0077657A"/>
    <w:rsid w:val="00776976"/>
    <w:rsid w:val="00777CF4"/>
    <w:rsid w:val="00781A50"/>
    <w:rsid w:val="007854DC"/>
    <w:rsid w:val="00785A9B"/>
    <w:rsid w:val="00790AA7"/>
    <w:rsid w:val="00791C7C"/>
    <w:rsid w:val="00791EAF"/>
    <w:rsid w:val="00791EF1"/>
    <w:rsid w:val="007A242C"/>
    <w:rsid w:val="007A26DD"/>
    <w:rsid w:val="007A4AC0"/>
    <w:rsid w:val="007A5F60"/>
    <w:rsid w:val="007B2B97"/>
    <w:rsid w:val="007B42B3"/>
    <w:rsid w:val="007B64EA"/>
    <w:rsid w:val="007B71B2"/>
    <w:rsid w:val="007C0241"/>
    <w:rsid w:val="007C195C"/>
    <w:rsid w:val="007C2B0F"/>
    <w:rsid w:val="007C4405"/>
    <w:rsid w:val="007C5292"/>
    <w:rsid w:val="007D2232"/>
    <w:rsid w:val="007D27E7"/>
    <w:rsid w:val="007D33AE"/>
    <w:rsid w:val="007D35AC"/>
    <w:rsid w:val="007D42EF"/>
    <w:rsid w:val="007D5309"/>
    <w:rsid w:val="007D55B6"/>
    <w:rsid w:val="007E40C3"/>
    <w:rsid w:val="007E5738"/>
    <w:rsid w:val="007E6685"/>
    <w:rsid w:val="007E74E2"/>
    <w:rsid w:val="007E75F7"/>
    <w:rsid w:val="007E76FC"/>
    <w:rsid w:val="007F248B"/>
    <w:rsid w:val="007F259C"/>
    <w:rsid w:val="007F2980"/>
    <w:rsid w:val="007F6854"/>
    <w:rsid w:val="008006EB"/>
    <w:rsid w:val="008024B8"/>
    <w:rsid w:val="00803E95"/>
    <w:rsid w:val="00805BA6"/>
    <w:rsid w:val="008062F0"/>
    <w:rsid w:val="00810C57"/>
    <w:rsid w:val="00811114"/>
    <w:rsid w:val="00813D9E"/>
    <w:rsid w:val="0081447D"/>
    <w:rsid w:val="00814AB2"/>
    <w:rsid w:val="00820F4C"/>
    <w:rsid w:val="00821988"/>
    <w:rsid w:val="00821A87"/>
    <w:rsid w:val="0082442E"/>
    <w:rsid w:val="00825D9B"/>
    <w:rsid w:val="008329DA"/>
    <w:rsid w:val="00833ADD"/>
    <w:rsid w:val="008354AC"/>
    <w:rsid w:val="008366B5"/>
    <w:rsid w:val="00840487"/>
    <w:rsid w:val="00842E45"/>
    <w:rsid w:val="00844435"/>
    <w:rsid w:val="00850634"/>
    <w:rsid w:val="00851A61"/>
    <w:rsid w:val="00851AC9"/>
    <w:rsid w:val="00851B05"/>
    <w:rsid w:val="00852533"/>
    <w:rsid w:val="00855E2A"/>
    <w:rsid w:val="0085647B"/>
    <w:rsid w:val="00856507"/>
    <w:rsid w:val="00856F41"/>
    <w:rsid w:val="0086285B"/>
    <w:rsid w:val="00862D41"/>
    <w:rsid w:val="00863B2F"/>
    <w:rsid w:val="00866A0D"/>
    <w:rsid w:val="00867BDC"/>
    <w:rsid w:val="00870906"/>
    <w:rsid w:val="00873313"/>
    <w:rsid w:val="008758C3"/>
    <w:rsid w:val="00877843"/>
    <w:rsid w:val="00881C08"/>
    <w:rsid w:val="00885458"/>
    <w:rsid w:val="00886BCB"/>
    <w:rsid w:val="008871CE"/>
    <w:rsid w:val="008913FE"/>
    <w:rsid w:val="00892E42"/>
    <w:rsid w:val="008A5B19"/>
    <w:rsid w:val="008B096D"/>
    <w:rsid w:val="008B366E"/>
    <w:rsid w:val="008B4571"/>
    <w:rsid w:val="008B4617"/>
    <w:rsid w:val="008B47DC"/>
    <w:rsid w:val="008B73E4"/>
    <w:rsid w:val="008C1B9F"/>
    <w:rsid w:val="008C3B38"/>
    <w:rsid w:val="008C5D8C"/>
    <w:rsid w:val="008C6971"/>
    <w:rsid w:val="008C6AA8"/>
    <w:rsid w:val="008D08FD"/>
    <w:rsid w:val="008D4A76"/>
    <w:rsid w:val="008D4CA9"/>
    <w:rsid w:val="008D56BF"/>
    <w:rsid w:val="008D7F69"/>
    <w:rsid w:val="008E1947"/>
    <w:rsid w:val="008E2732"/>
    <w:rsid w:val="008E5219"/>
    <w:rsid w:val="008E667B"/>
    <w:rsid w:val="008E7066"/>
    <w:rsid w:val="008E7301"/>
    <w:rsid w:val="008E7390"/>
    <w:rsid w:val="008E7922"/>
    <w:rsid w:val="008F10F4"/>
    <w:rsid w:val="008F2037"/>
    <w:rsid w:val="008F2AE3"/>
    <w:rsid w:val="008F314D"/>
    <w:rsid w:val="008F4494"/>
    <w:rsid w:val="008F6ACC"/>
    <w:rsid w:val="008F6FBA"/>
    <w:rsid w:val="00900B74"/>
    <w:rsid w:val="00901CA5"/>
    <w:rsid w:val="00902CF0"/>
    <w:rsid w:val="0090336F"/>
    <w:rsid w:val="009034B6"/>
    <w:rsid w:val="00905E52"/>
    <w:rsid w:val="00907D83"/>
    <w:rsid w:val="00911217"/>
    <w:rsid w:val="00912212"/>
    <w:rsid w:val="00914108"/>
    <w:rsid w:val="0091647E"/>
    <w:rsid w:val="00924A50"/>
    <w:rsid w:val="00925661"/>
    <w:rsid w:val="00926FE1"/>
    <w:rsid w:val="00927083"/>
    <w:rsid w:val="0093435F"/>
    <w:rsid w:val="00935256"/>
    <w:rsid w:val="00936E98"/>
    <w:rsid w:val="009401A4"/>
    <w:rsid w:val="0094064C"/>
    <w:rsid w:val="0094138D"/>
    <w:rsid w:val="00943AEE"/>
    <w:rsid w:val="00943FF0"/>
    <w:rsid w:val="0094452D"/>
    <w:rsid w:val="00951CF5"/>
    <w:rsid w:val="00951F6D"/>
    <w:rsid w:val="00952E7D"/>
    <w:rsid w:val="00955663"/>
    <w:rsid w:val="0096278C"/>
    <w:rsid w:val="00970A4F"/>
    <w:rsid w:val="00971AF1"/>
    <w:rsid w:val="009721D1"/>
    <w:rsid w:val="00973CC4"/>
    <w:rsid w:val="00974BF4"/>
    <w:rsid w:val="00975007"/>
    <w:rsid w:val="00976906"/>
    <w:rsid w:val="00980E4A"/>
    <w:rsid w:val="009813B5"/>
    <w:rsid w:val="009815EC"/>
    <w:rsid w:val="00981B9B"/>
    <w:rsid w:val="00982674"/>
    <w:rsid w:val="00985016"/>
    <w:rsid w:val="00985442"/>
    <w:rsid w:val="009861E5"/>
    <w:rsid w:val="0098780F"/>
    <w:rsid w:val="0099391F"/>
    <w:rsid w:val="009944F7"/>
    <w:rsid w:val="00994B76"/>
    <w:rsid w:val="009973AE"/>
    <w:rsid w:val="009A0779"/>
    <w:rsid w:val="009A0B5C"/>
    <w:rsid w:val="009A211D"/>
    <w:rsid w:val="009A4217"/>
    <w:rsid w:val="009A45A8"/>
    <w:rsid w:val="009A602C"/>
    <w:rsid w:val="009B0CBD"/>
    <w:rsid w:val="009B5375"/>
    <w:rsid w:val="009B63F7"/>
    <w:rsid w:val="009B6C26"/>
    <w:rsid w:val="009C13FF"/>
    <w:rsid w:val="009C18B1"/>
    <w:rsid w:val="009C3033"/>
    <w:rsid w:val="009C590E"/>
    <w:rsid w:val="009C5C59"/>
    <w:rsid w:val="009D0607"/>
    <w:rsid w:val="009D116F"/>
    <w:rsid w:val="009D2FC2"/>
    <w:rsid w:val="009D5AA0"/>
    <w:rsid w:val="009E13E5"/>
    <w:rsid w:val="009E34EA"/>
    <w:rsid w:val="009E3A3A"/>
    <w:rsid w:val="009E48B2"/>
    <w:rsid w:val="009E62F5"/>
    <w:rsid w:val="009E68A9"/>
    <w:rsid w:val="009E78B1"/>
    <w:rsid w:val="009E7C72"/>
    <w:rsid w:val="009F03A6"/>
    <w:rsid w:val="009F0F65"/>
    <w:rsid w:val="009F1333"/>
    <w:rsid w:val="009F4C63"/>
    <w:rsid w:val="009F76C2"/>
    <w:rsid w:val="00A031DA"/>
    <w:rsid w:val="00A03A8F"/>
    <w:rsid w:val="00A06253"/>
    <w:rsid w:val="00A134C8"/>
    <w:rsid w:val="00A14A11"/>
    <w:rsid w:val="00A153CE"/>
    <w:rsid w:val="00A15C7D"/>
    <w:rsid w:val="00A167A3"/>
    <w:rsid w:val="00A21B1E"/>
    <w:rsid w:val="00A227E4"/>
    <w:rsid w:val="00A2405B"/>
    <w:rsid w:val="00A26F3E"/>
    <w:rsid w:val="00A27194"/>
    <w:rsid w:val="00A34D85"/>
    <w:rsid w:val="00A34F3D"/>
    <w:rsid w:val="00A35A48"/>
    <w:rsid w:val="00A35FC0"/>
    <w:rsid w:val="00A371DA"/>
    <w:rsid w:val="00A417CD"/>
    <w:rsid w:val="00A55DB6"/>
    <w:rsid w:val="00A60CFF"/>
    <w:rsid w:val="00A62658"/>
    <w:rsid w:val="00A63640"/>
    <w:rsid w:val="00A6584B"/>
    <w:rsid w:val="00A65EBE"/>
    <w:rsid w:val="00A666AF"/>
    <w:rsid w:val="00A70298"/>
    <w:rsid w:val="00A72851"/>
    <w:rsid w:val="00A730EC"/>
    <w:rsid w:val="00A75BFB"/>
    <w:rsid w:val="00A8177C"/>
    <w:rsid w:val="00A8248A"/>
    <w:rsid w:val="00A86038"/>
    <w:rsid w:val="00A873EC"/>
    <w:rsid w:val="00A9662F"/>
    <w:rsid w:val="00A96C63"/>
    <w:rsid w:val="00A97D26"/>
    <w:rsid w:val="00AA136D"/>
    <w:rsid w:val="00AA3A9E"/>
    <w:rsid w:val="00AA3AFB"/>
    <w:rsid w:val="00AA4B92"/>
    <w:rsid w:val="00AA614E"/>
    <w:rsid w:val="00AA6976"/>
    <w:rsid w:val="00AB1C75"/>
    <w:rsid w:val="00AB5B28"/>
    <w:rsid w:val="00AC0527"/>
    <w:rsid w:val="00AC113B"/>
    <w:rsid w:val="00AC3F66"/>
    <w:rsid w:val="00AC641A"/>
    <w:rsid w:val="00AC6B2F"/>
    <w:rsid w:val="00AC7651"/>
    <w:rsid w:val="00AD1A9A"/>
    <w:rsid w:val="00AD52EB"/>
    <w:rsid w:val="00AE172F"/>
    <w:rsid w:val="00AE36D7"/>
    <w:rsid w:val="00AF687B"/>
    <w:rsid w:val="00AF714D"/>
    <w:rsid w:val="00AF7CBA"/>
    <w:rsid w:val="00B0009D"/>
    <w:rsid w:val="00B02F37"/>
    <w:rsid w:val="00B034E3"/>
    <w:rsid w:val="00B03FCD"/>
    <w:rsid w:val="00B07A8A"/>
    <w:rsid w:val="00B10698"/>
    <w:rsid w:val="00B15643"/>
    <w:rsid w:val="00B16ACA"/>
    <w:rsid w:val="00B16F9B"/>
    <w:rsid w:val="00B2155E"/>
    <w:rsid w:val="00B22EFA"/>
    <w:rsid w:val="00B2400B"/>
    <w:rsid w:val="00B24FD0"/>
    <w:rsid w:val="00B27E44"/>
    <w:rsid w:val="00B30394"/>
    <w:rsid w:val="00B308ED"/>
    <w:rsid w:val="00B32684"/>
    <w:rsid w:val="00B34743"/>
    <w:rsid w:val="00B3509B"/>
    <w:rsid w:val="00B35BBA"/>
    <w:rsid w:val="00B36560"/>
    <w:rsid w:val="00B37FC4"/>
    <w:rsid w:val="00B42D18"/>
    <w:rsid w:val="00B454CA"/>
    <w:rsid w:val="00B50D53"/>
    <w:rsid w:val="00B528F8"/>
    <w:rsid w:val="00B541E9"/>
    <w:rsid w:val="00B55281"/>
    <w:rsid w:val="00B563D2"/>
    <w:rsid w:val="00B56A36"/>
    <w:rsid w:val="00B60605"/>
    <w:rsid w:val="00B60DAF"/>
    <w:rsid w:val="00B62C62"/>
    <w:rsid w:val="00B67103"/>
    <w:rsid w:val="00B677A1"/>
    <w:rsid w:val="00B737E7"/>
    <w:rsid w:val="00B7469B"/>
    <w:rsid w:val="00B7697A"/>
    <w:rsid w:val="00B82198"/>
    <w:rsid w:val="00B82AC7"/>
    <w:rsid w:val="00B82C90"/>
    <w:rsid w:val="00B87B95"/>
    <w:rsid w:val="00B931ED"/>
    <w:rsid w:val="00B9431F"/>
    <w:rsid w:val="00B96652"/>
    <w:rsid w:val="00BA0BB2"/>
    <w:rsid w:val="00BA3C91"/>
    <w:rsid w:val="00BA456D"/>
    <w:rsid w:val="00BA4E89"/>
    <w:rsid w:val="00BA6DCF"/>
    <w:rsid w:val="00BA7E3A"/>
    <w:rsid w:val="00BB07DA"/>
    <w:rsid w:val="00BB37F2"/>
    <w:rsid w:val="00BB4B35"/>
    <w:rsid w:val="00BB679C"/>
    <w:rsid w:val="00BB7D63"/>
    <w:rsid w:val="00BC042D"/>
    <w:rsid w:val="00BC08B4"/>
    <w:rsid w:val="00BC250A"/>
    <w:rsid w:val="00BC4906"/>
    <w:rsid w:val="00BC5E43"/>
    <w:rsid w:val="00BC753F"/>
    <w:rsid w:val="00BD05B6"/>
    <w:rsid w:val="00BD168F"/>
    <w:rsid w:val="00BD370D"/>
    <w:rsid w:val="00BD3F5D"/>
    <w:rsid w:val="00BD4C8C"/>
    <w:rsid w:val="00BD7B32"/>
    <w:rsid w:val="00BE0370"/>
    <w:rsid w:val="00BE0C91"/>
    <w:rsid w:val="00BE30DF"/>
    <w:rsid w:val="00BE35F8"/>
    <w:rsid w:val="00BE6971"/>
    <w:rsid w:val="00BF5A7A"/>
    <w:rsid w:val="00BF5B47"/>
    <w:rsid w:val="00BF764B"/>
    <w:rsid w:val="00C00097"/>
    <w:rsid w:val="00C01894"/>
    <w:rsid w:val="00C024B7"/>
    <w:rsid w:val="00C03866"/>
    <w:rsid w:val="00C03C29"/>
    <w:rsid w:val="00C065D3"/>
    <w:rsid w:val="00C10976"/>
    <w:rsid w:val="00C11937"/>
    <w:rsid w:val="00C11D35"/>
    <w:rsid w:val="00C120AF"/>
    <w:rsid w:val="00C12B91"/>
    <w:rsid w:val="00C1545D"/>
    <w:rsid w:val="00C15F78"/>
    <w:rsid w:val="00C213A8"/>
    <w:rsid w:val="00C222EA"/>
    <w:rsid w:val="00C22502"/>
    <w:rsid w:val="00C2288E"/>
    <w:rsid w:val="00C24CD3"/>
    <w:rsid w:val="00C26146"/>
    <w:rsid w:val="00C317EF"/>
    <w:rsid w:val="00C32718"/>
    <w:rsid w:val="00C363AF"/>
    <w:rsid w:val="00C377A3"/>
    <w:rsid w:val="00C40ABC"/>
    <w:rsid w:val="00C40CA1"/>
    <w:rsid w:val="00C42052"/>
    <w:rsid w:val="00C42E1C"/>
    <w:rsid w:val="00C4650E"/>
    <w:rsid w:val="00C47C1A"/>
    <w:rsid w:val="00C47EA1"/>
    <w:rsid w:val="00C5033B"/>
    <w:rsid w:val="00C50463"/>
    <w:rsid w:val="00C510F1"/>
    <w:rsid w:val="00C51966"/>
    <w:rsid w:val="00C52EA3"/>
    <w:rsid w:val="00C54AE4"/>
    <w:rsid w:val="00C55B11"/>
    <w:rsid w:val="00C55E5F"/>
    <w:rsid w:val="00C5676E"/>
    <w:rsid w:val="00C56B60"/>
    <w:rsid w:val="00C57B8D"/>
    <w:rsid w:val="00C61075"/>
    <w:rsid w:val="00C677DF"/>
    <w:rsid w:val="00C67934"/>
    <w:rsid w:val="00C7142E"/>
    <w:rsid w:val="00C71CCF"/>
    <w:rsid w:val="00C7326A"/>
    <w:rsid w:val="00C73933"/>
    <w:rsid w:val="00C73F85"/>
    <w:rsid w:val="00C742EC"/>
    <w:rsid w:val="00C77814"/>
    <w:rsid w:val="00C872C1"/>
    <w:rsid w:val="00C9113A"/>
    <w:rsid w:val="00C91C6F"/>
    <w:rsid w:val="00C93418"/>
    <w:rsid w:val="00C95B55"/>
    <w:rsid w:val="00C95D7C"/>
    <w:rsid w:val="00C97970"/>
    <w:rsid w:val="00CB2BCF"/>
    <w:rsid w:val="00CB60BE"/>
    <w:rsid w:val="00CB78E0"/>
    <w:rsid w:val="00CC0376"/>
    <w:rsid w:val="00CC1866"/>
    <w:rsid w:val="00CC38D7"/>
    <w:rsid w:val="00CC6A38"/>
    <w:rsid w:val="00CC6AA6"/>
    <w:rsid w:val="00CD154A"/>
    <w:rsid w:val="00CD42FC"/>
    <w:rsid w:val="00CD63A3"/>
    <w:rsid w:val="00CD733F"/>
    <w:rsid w:val="00CE0658"/>
    <w:rsid w:val="00CE623C"/>
    <w:rsid w:val="00CE6AC8"/>
    <w:rsid w:val="00CF1821"/>
    <w:rsid w:val="00CF1BB6"/>
    <w:rsid w:val="00CF239D"/>
    <w:rsid w:val="00CF416C"/>
    <w:rsid w:val="00CF46B7"/>
    <w:rsid w:val="00CF4AC5"/>
    <w:rsid w:val="00CF66B5"/>
    <w:rsid w:val="00CF7780"/>
    <w:rsid w:val="00CF77AB"/>
    <w:rsid w:val="00D0029D"/>
    <w:rsid w:val="00D00C8B"/>
    <w:rsid w:val="00D02216"/>
    <w:rsid w:val="00D05C41"/>
    <w:rsid w:val="00D100E5"/>
    <w:rsid w:val="00D12896"/>
    <w:rsid w:val="00D134D3"/>
    <w:rsid w:val="00D1778C"/>
    <w:rsid w:val="00D200CC"/>
    <w:rsid w:val="00D20684"/>
    <w:rsid w:val="00D25E9A"/>
    <w:rsid w:val="00D26A73"/>
    <w:rsid w:val="00D34D14"/>
    <w:rsid w:val="00D34ED5"/>
    <w:rsid w:val="00D358AE"/>
    <w:rsid w:val="00D368A1"/>
    <w:rsid w:val="00D41012"/>
    <w:rsid w:val="00D412D8"/>
    <w:rsid w:val="00D42618"/>
    <w:rsid w:val="00D43040"/>
    <w:rsid w:val="00D444A3"/>
    <w:rsid w:val="00D44701"/>
    <w:rsid w:val="00D531D1"/>
    <w:rsid w:val="00D55DF6"/>
    <w:rsid w:val="00D56797"/>
    <w:rsid w:val="00D66119"/>
    <w:rsid w:val="00D72126"/>
    <w:rsid w:val="00D74BAF"/>
    <w:rsid w:val="00D757E4"/>
    <w:rsid w:val="00D759C8"/>
    <w:rsid w:val="00D77C3A"/>
    <w:rsid w:val="00D82DFF"/>
    <w:rsid w:val="00D83DBE"/>
    <w:rsid w:val="00D843B6"/>
    <w:rsid w:val="00D85572"/>
    <w:rsid w:val="00D864BA"/>
    <w:rsid w:val="00D8674B"/>
    <w:rsid w:val="00D92EE9"/>
    <w:rsid w:val="00D92FC5"/>
    <w:rsid w:val="00D94C24"/>
    <w:rsid w:val="00D9686B"/>
    <w:rsid w:val="00DA0A06"/>
    <w:rsid w:val="00DA1992"/>
    <w:rsid w:val="00DA279C"/>
    <w:rsid w:val="00DA4A62"/>
    <w:rsid w:val="00DA4CFF"/>
    <w:rsid w:val="00DA712E"/>
    <w:rsid w:val="00DA74DF"/>
    <w:rsid w:val="00DB0249"/>
    <w:rsid w:val="00DB02E1"/>
    <w:rsid w:val="00DB7E05"/>
    <w:rsid w:val="00DC0E59"/>
    <w:rsid w:val="00DC1E05"/>
    <w:rsid w:val="00DC3B83"/>
    <w:rsid w:val="00DC4232"/>
    <w:rsid w:val="00DD1491"/>
    <w:rsid w:val="00DD4674"/>
    <w:rsid w:val="00DD5A6D"/>
    <w:rsid w:val="00DD5FD9"/>
    <w:rsid w:val="00DE1EEE"/>
    <w:rsid w:val="00DE1F0F"/>
    <w:rsid w:val="00DE75F5"/>
    <w:rsid w:val="00DF1541"/>
    <w:rsid w:val="00DF3C04"/>
    <w:rsid w:val="00DF3DC8"/>
    <w:rsid w:val="00DF5240"/>
    <w:rsid w:val="00DF5894"/>
    <w:rsid w:val="00DF59AB"/>
    <w:rsid w:val="00DF5CA4"/>
    <w:rsid w:val="00E0090A"/>
    <w:rsid w:val="00E01452"/>
    <w:rsid w:val="00E02BB0"/>
    <w:rsid w:val="00E02BF6"/>
    <w:rsid w:val="00E04CC6"/>
    <w:rsid w:val="00E04DC0"/>
    <w:rsid w:val="00E0566D"/>
    <w:rsid w:val="00E0674C"/>
    <w:rsid w:val="00E15831"/>
    <w:rsid w:val="00E15CAD"/>
    <w:rsid w:val="00E16895"/>
    <w:rsid w:val="00E2248B"/>
    <w:rsid w:val="00E30018"/>
    <w:rsid w:val="00E30801"/>
    <w:rsid w:val="00E32855"/>
    <w:rsid w:val="00E33029"/>
    <w:rsid w:val="00E46427"/>
    <w:rsid w:val="00E47DB2"/>
    <w:rsid w:val="00E514B6"/>
    <w:rsid w:val="00E51A96"/>
    <w:rsid w:val="00E57985"/>
    <w:rsid w:val="00E57D96"/>
    <w:rsid w:val="00E57F32"/>
    <w:rsid w:val="00E60649"/>
    <w:rsid w:val="00E60B6A"/>
    <w:rsid w:val="00E61063"/>
    <w:rsid w:val="00E67D1C"/>
    <w:rsid w:val="00E7088E"/>
    <w:rsid w:val="00E72BD3"/>
    <w:rsid w:val="00E736AB"/>
    <w:rsid w:val="00E7393D"/>
    <w:rsid w:val="00E870BB"/>
    <w:rsid w:val="00E90708"/>
    <w:rsid w:val="00E90723"/>
    <w:rsid w:val="00E90DC9"/>
    <w:rsid w:val="00E935AB"/>
    <w:rsid w:val="00E96F25"/>
    <w:rsid w:val="00E9759F"/>
    <w:rsid w:val="00E97EF2"/>
    <w:rsid w:val="00E97F6B"/>
    <w:rsid w:val="00EA1000"/>
    <w:rsid w:val="00EA231E"/>
    <w:rsid w:val="00EA7379"/>
    <w:rsid w:val="00EB2000"/>
    <w:rsid w:val="00EB218E"/>
    <w:rsid w:val="00EB2421"/>
    <w:rsid w:val="00EB27AB"/>
    <w:rsid w:val="00EC1460"/>
    <w:rsid w:val="00EC1A87"/>
    <w:rsid w:val="00EC5B51"/>
    <w:rsid w:val="00EC6135"/>
    <w:rsid w:val="00ED2D06"/>
    <w:rsid w:val="00ED54C3"/>
    <w:rsid w:val="00EE478E"/>
    <w:rsid w:val="00EE4F27"/>
    <w:rsid w:val="00EE6746"/>
    <w:rsid w:val="00EF1288"/>
    <w:rsid w:val="00EF286D"/>
    <w:rsid w:val="00EF3210"/>
    <w:rsid w:val="00EF3DE2"/>
    <w:rsid w:val="00EF5AA4"/>
    <w:rsid w:val="00EF5D7A"/>
    <w:rsid w:val="00EF6B92"/>
    <w:rsid w:val="00EF789C"/>
    <w:rsid w:val="00EF793A"/>
    <w:rsid w:val="00F01F2D"/>
    <w:rsid w:val="00F01F2E"/>
    <w:rsid w:val="00F02173"/>
    <w:rsid w:val="00F021CD"/>
    <w:rsid w:val="00F0268A"/>
    <w:rsid w:val="00F0285E"/>
    <w:rsid w:val="00F02892"/>
    <w:rsid w:val="00F0353A"/>
    <w:rsid w:val="00F04F55"/>
    <w:rsid w:val="00F06D75"/>
    <w:rsid w:val="00F131EA"/>
    <w:rsid w:val="00F15D8D"/>
    <w:rsid w:val="00F15E50"/>
    <w:rsid w:val="00F22BF0"/>
    <w:rsid w:val="00F30540"/>
    <w:rsid w:val="00F30DE2"/>
    <w:rsid w:val="00F345BA"/>
    <w:rsid w:val="00F40AE3"/>
    <w:rsid w:val="00F44190"/>
    <w:rsid w:val="00F452F1"/>
    <w:rsid w:val="00F45C09"/>
    <w:rsid w:val="00F50EC9"/>
    <w:rsid w:val="00F5130F"/>
    <w:rsid w:val="00F54989"/>
    <w:rsid w:val="00F5560C"/>
    <w:rsid w:val="00F56052"/>
    <w:rsid w:val="00F61D2A"/>
    <w:rsid w:val="00F622EF"/>
    <w:rsid w:val="00F62B21"/>
    <w:rsid w:val="00F66946"/>
    <w:rsid w:val="00F70799"/>
    <w:rsid w:val="00F70B57"/>
    <w:rsid w:val="00F70BFA"/>
    <w:rsid w:val="00F72332"/>
    <w:rsid w:val="00F74B1F"/>
    <w:rsid w:val="00F75647"/>
    <w:rsid w:val="00F7740E"/>
    <w:rsid w:val="00F80D5F"/>
    <w:rsid w:val="00F82CF6"/>
    <w:rsid w:val="00F8461A"/>
    <w:rsid w:val="00F86CDA"/>
    <w:rsid w:val="00F879C0"/>
    <w:rsid w:val="00F93286"/>
    <w:rsid w:val="00F9416D"/>
    <w:rsid w:val="00F959D3"/>
    <w:rsid w:val="00F95E20"/>
    <w:rsid w:val="00F96112"/>
    <w:rsid w:val="00FA4386"/>
    <w:rsid w:val="00FA5606"/>
    <w:rsid w:val="00FA700F"/>
    <w:rsid w:val="00FA72B1"/>
    <w:rsid w:val="00FB26E1"/>
    <w:rsid w:val="00FB4301"/>
    <w:rsid w:val="00FB57A1"/>
    <w:rsid w:val="00FC2345"/>
    <w:rsid w:val="00FC2B7C"/>
    <w:rsid w:val="00FC2BA3"/>
    <w:rsid w:val="00FC4934"/>
    <w:rsid w:val="00FC5C98"/>
    <w:rsid w:val="00FC6616"/>
    <w:rsid w:val="00FC6EF0"/>
    <w:rsid w:val="00FD157A"/>
    <w:rsid w:val="00FD2339"/>
    <w:rsid w:val="00FD7BFD"/>
    <w:rsid w:val="00FE1A97"/>
    <w:rsid w:val="00FE43F3"/>
    <w:rsid w:val="00FE57B2"/>
    <w:rsid w:val="00FE6AA7"/>
    <w:rsid w:val="00FF1D22"/>
    <w:rsid w:val="00FF34DF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9FF2"/>
  <w15:docId w15:val="{FE3F2A3B-F1B0-467B-BABE-80A69FFF7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5F5B"/>
    <w:pPr>
      <w:spacing w:after="160" w:line="259" w:lineRule="auto"/>
      <w:contextualSpacing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1D1137"/>
    <w:pPr>
      <w:keepNext/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  <w:lang w:eastAsia="pl-PL"/>
    </w:rPr>
  </w:style>
  <w:style w:type="paragraph" w:styleId="Nagwek20">
    <w:name w:val="heading 2"/>
    <w:basedOn w:val="Normalny"/>
    <w:next w:val="Normalny"/>
    <w:link w:val="Nagwek2Znak"/>
    <w:uiPriority w:val="9"/>
    <w:unhideWhenUsed/>
    <w:qFormat/>
    <w:rsid w:val="00EC6F7E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6F7E"/>
    <w:pPr>
      <w:keepNext/>
      <w:keepLines/>
      <w:spacing w:before="40" w:after="0"/>
      <w:outlineLvl w:val="2"/>
    </w:pPr>
    <w:rPr>
      <w:rFonts w:ascii="Calibri" w:eastAsiaTheme="majorEastAsia" w:hAnsi="Calibri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6060"/>
    <w:pPr>
      <w:keepNext/>
      <w:keepLines/>
      <w:spacing w:before="40" w:after="0"/>
      <w:outlineLvl w:val="3"/>
    </w:pPr>
    <w:rPr>
      <w:rFonts w:ascii="Calibri" w:eastAsiaTheme="majorEastAsia" w:hAnsi="Calibri" w:cstheme="majorBidi"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6131F"/>
    <w:pPr>
      <w:keepNext/>
      <w:keepLines/>
      <w:spacing w:before="40" w:after="0"/>
      <w:outlineLvl w:val="4"/>
    </w:pPr>
    <w:rPr>
      <w:rFonts w:ascii="Calibri" w:eastAsiaTheme="majorEastAsia" w:hAnsi="Calibr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80945"/>
    <w:pPr>
      <w:keepNext/>
      <w:keepLines/>
      <w:tabs>
        <w:tab w:val="num" w:pos="0"/>
      </w:tabs>
      <w:spacing w:before="40" w:after="0" w:line="276" w:lineRule="auto"/>
      <w:ind w:left="1134"/>
      <w:outlineLvl w:val="5"/>
    </w:pPr>
    <w:rPr>
      <w:rFonts w:ascii="Calibri" w:eastAsiaTheme="majorEastAsia" w:hAnsi="Calibri" w:cs="Calibri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E2E4B"/>
    <w:pPr>
      <w:keepNext/>
      <w:keepLines/>
      <w:numPr>
        <w:numId w:val="1"/>
      </w:numPr>
      <w:spacing w:before="40" w:after="0"/>
      <w:ind w:left="1134" w:firstLine="0"/>
      <w:outlineLvl w:val="6"/>
    </w:pPr>
    <w:rPr>
      <w:rFonts w:ascii="Calibri" w:eastAsiaTheme="majorEastAsia" w:hAnsi="Calibri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qFormat/>
    <w:rsid w:val="001D1137"/>
    <w:rPr>
      <w:rFonts w:ascii="Calibri" w:eastAsiaTheme="majorEastAsia" w:hAnsi="Calibri" w:cstheme="majorBidi"/>
      <w:b/>
      <w:bCs/>
      <w:kern w:val="2"/>
      <w:sz w:val="24"/>
      <w:szCs w:val="32"/>
    </w:rPr>
  </w:style>
  <w:style w:type="character" w:customStyle="1" w:styleId="Nagwek1Znak">
    <w:name w:val="Nagłówek 1 Znak"/>
    <w:basedOn w:val="Domylnaczcionkaakapitu"/>
    <w:link w:val="Nagwek1"/>
    <w:qFormat/>
    <w:rsid w:val="001D1137"/>
    <w:rPr>
      <w:rFonts w:ascii="Calibri" w:eastAsia="Times New Roman" w:hAnsi="Calibri" w:cs="Times New Roman"/>
      <w:b/>
      <w:bCs/>
      <w:kern w:val="2"/>
      <w:sz w:val="24"/>
      <w:szCs w:val="3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D1137"/>
  </w:style>
  <w:style w:type="character" w:customStyle="1" w:styleId="StopkaZnak">
    <w:name w:val="Stopka Znak"/>
    <w:basedOn w:val="Domylnaczcionkaakapitu"/>
    <w:link w:val="Stopka"/>
    <w:uiPriority w:val="99"/>
    <w:qFormat/>
    <w:rsid w:val="001D1137"/>
  </w:style>
  <w:style w:type="character" w:customStyle="1" w:styleId="Nagwek2Znak">
    <w:name w:val="Nagłówek 2 Znak"/>
    <w:basedOn w:val="Domylnaczcionkaakapitu"/>
    <w:link w:val="Nagwek20"/>
    <w:uiPriority w:val="9"/>
    <w:qFormat/>
    <w:rsid w:val="00EC6F7E"/>
    <w:rPr>
      <w:rFonts w:ascii="Calibri" w:eastAsiaTheme="majorEastAsia" w:hAnsi="Calibr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EC6F7E"/>
    <w:rPr>
      <w:rFonts w:ascii="Calibri" w:eastAsiaTheme="majorEastAsia" w:hAnsi="Calibri" w:cstheme="majorBidi"/>
      <w:sz w:val="24"/>
      <w:szCs w:val="24"/>
    </w:rPr>
  </w:style>
  <w:style w:type="character" w:customStyle="1" w:styleId="TekstprzypisudolnegoZnak">
    <w:name w:val="Tekst przypisu dolnego Znak"/>
    <w:aliases w:val="Podrozdział Znak,PRZYPISKI Znak,Footnote Znak,Podrozdzia3 Znak,Tekst przypisu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EC6F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C6F7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FA6060"/>
    <w:rPr>
      <w:rFonts w:ascii="Calibri" w:eastAsiaTheme="majorEastAsia" w:hAnsi="Calibri" w:cstheme="majorBidi"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6131F"/>
    <w:rPr>
      <w:rFonts w:ascii="Calibri" w:eastAsiaTheme="majorEastAsia" w:hAnsi="Calibr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80945"/>
    <w:rPr>
      <w:rFonts w:ascii="Calibri" w:eastAsiaTheme="majorEastAsia" w:hAnsi="Calibri" w:cs="Calibri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FE2E4B"/>
    <w:rPr>
      <w:rFonts w:ascii="Calibri" w:eastAsiaTheme="majorEastAsia" w:hAnsi="Calibri" w:cstheme="majorBidi"/>
      <w:iCs/>
      <w:sz w:val="24"/>
    </w:rPr>
  </w:style>
  <w:style w:type="character" w:customStyle="1" w:styleId="czeinternetowe">
    <w:name w:val="Łącze internetowe"/>
    <w:rsid w:val="00B26B4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3151F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151F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151F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qFormat/>
    <w:rsid w:val="003151FB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nhideWhenUsed/>
    <w:rsid w:val="001D11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qFormat/>
    <w:rsid w:val="001D1137"/>
    <w:pPr>
      <w:spacing w:before="240" w:after="60" w:line="240" w:lineRule="auto"/>
      <w:jc w:val="center"/>
      <w:outlineLvl w:val="0"/>
    </w:pPr>
    <w:rPr>
      <w:rFonts w:ascii="Calibri" w:eastAsiaTheme="majorEastAsia" w:hAnsi="Calibri" w:cstheme="majorBidi"/>
      <w:b/>
      <w:bCs/>
      <w:kern w:val="2"/>
      <w:szCs w:val="32"/>
    </w:rPr>
  </w:style>
  <w:style w:type="paragraph" w:customStyle="1" w:styleId="nagwek2">
    <w:name w:val="nagłówek 2"/>
    <w:basedOn w:val="Normalny"/>
    <w:qFormat/>
    <w:rsid w:val="00200C6A"/>
    <w:pPr>
      <w:numPr>
        <w:numId w:val="2"/>
      </w:numPr>
      <w:spacing w:before="120" w:after="0" w:line="240" w:lineRule="auto"/>
    </w:pPr>
    <w:rPr>
      <w:rFonts w:ascii="Calibri" w:eastAsia="Times New Roman" w:hAnsi="Calibri" w:cs="Calibri"/>
      <w:b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D113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C6F7E"/>
    <w:pPr>
      <w:ind w:left="720"/>
    </w:pPr>
  </w:style>
  <w:style w:type="paragraph" w:styleId="Bezodstpw">
    <w:name w:val="No Spacing"/>
    <w:next w:val="Nagwek3"/>
    <w:uiPriority w:val="1"/>
    <w:qFormat/>
    <w:rsid w:val="00EC6F7E"/>
    <w:rPr>
      <w:sz w:val="24"/>
    </w:rPr>
  </w:style>
  <w:style w:type="paragraph" w:styleId="Tekstprzypisudolnego">
    <w:name w:val="footnote text"/>
    <w:aliases w:val="Podrozdział,PRZYPISKI,Footnote,Podrozdzia3,Tekst przypisu,Tekst przypisu Znak Znak Znak Znak,Tekst przypisu Znak Znak Znak Znak Znak,Tekst przypisu Znak Znak Znak Znak Znak Znak Znak,Fußnote,-E Fuﬂnotentext,Fuﬂnotentext Ursprung,o"/>
    <w:basedOn w:val="Normalny"/>
    <w:link w:val="TekstprzypisudolnegoZnak"/>
    <w:uiPriority w:val="99"/>
    <w:rsid w:val="00EC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4B31D4"/>
    <w:pPr>
      <w:spacing w:after="0" w:line="240" w:lineRule="auto"/>
    </w:pPr>
    <w:rPr>
      <w:rFonts w:ascii="Tahoma" w:eastAsia="Times New Roman" w:hAnsi="Tahoma" w:cs="Tahoma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151F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151F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151F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2B6B5D"/>
    <w:rPr>
      <w:sz w:val="24"/>
    </w:rPr>
  </w:style>
  <w:style w:type="paragraph" w:customStyle="1" w:styleId="Styl50">
    <w:name w:val="Styl5"/>
    <w:basedOn w:val="Nagwek5"/>
    <w:qFormat/>
    <w:rsid w:val="00B67103"/>
    <w:pPr>
      <w:numPr>
        <w:numId w:val="24"/>
      </w:numPr>
    </w:pPr>
  </w:style>
  <w:style w:type="paragraph" w:customStyle="1" w:styleId="Styl6">
    <w:name w:val="Styl6"/>
    <w:basedOn w:val="Nagwek5"/>
    <w:qFormat/>
    <w:rsid w:val="003A0B64"/>
  </w:style>
  <w:style w:type="character" w:styleId="Odwoanieprzypisudolnego">
    <w:name w:val="footnote reference"/>
    <w:aliases w:val="Footnote Reference Number,Footnote Reference_LVL6,Footnote Reference_LVL61,Footnote Reference_LVL62,Footnote Reference_LVL63,Footnote Reference_LVL64,Odwołanie przypisu,Footnote Reference Superscript,Footnote Reference/,SUPERS"/>
    <w:basedOn w:val="Domylnaczcionkaakapitu"/>
    <w:unhideWhenUsed/>
    <w:rsid w:val="00B677A1"/>
    <w:rPr>
      <w:vertAlign w:val="superscript"/>
    </w:rPr>
  </w:style>
  <w:style w:type="numbering" w:customStyle="1" w:styleId="Styl7">
    <w:name w:val="Styl7"/>
    <w:uiPriority w:val="99"/>
    <w:rsid w:val="00AA614E"/>
    <w:pPr>
      <w:numPr>
        <w:numId w:val="9"/>
      </w:numPr>
    </w:pPr>
  </w:style>
  <w:style w:type="character" w:customStyle="1" w:styleId="markedcontent">
    <w:name w:val="markedcontent"/>
    <w:basedOn w:val="Domylnaczcionkaakapitu"/>
    <w:rsid w:val="00F452F1"/>
  </w:style>
  <w:style w:type="character" w:styleId="Hipercze">
    <w:name w:val="Hyperlink"/>
    <w:basedOn w:val="Domylnaczcionkaakapitu"/>
    <w:unhideWhenUsed/>
    <w:rsid w:val="001F1DC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1DC2"/>
    <w:rPr>
      <w:color w:val="605E5C"/>
      <w:shd w:val="clear" w:color="auto" w:fill="E1DFDD"/>
    </w:rPr>
  </w:style>
  <w:style w:type="numbering" w:customStyle="1" w:styleId="Styl11">
    <w:name w:val="Styl11"/>
    <w:rsid w:val="00253DF1"/>
    <w:pPr>
      <w:numPr>
        <w:numId w:val="10"/>
      </w:numPr>
    </w:pPr>
  </w:style>
  <w:style w:type="numbering" w:customStyle="1" w:styleId="Styl1">
    <w:name w:val="Styl1"/>
    <w:uiPriority w:val="99"/>
    <w:rsid w:val="00925661"/>
    <w:pPr>
      <w:numPr>
        <w:numId w:val="11"/>
      </w:numPr>
    </w:pPr>
  </w:style>
  <w:style w:type="numbering" w:customStyle="1" w:styleId="Styl2">
    <w:name w:val="Styl2"/>
    <w:uiPriority w:val="99"/>
    <w:rsid w:val="00D26A73"/>
    <w:pPr>
      <w:numPr>
        <w:numId w:val="12"/>
      </w:numPr>
    </w:pPr>
  </w:style>
  <w:style w:type="paragraph" w:customStyle="1" w:styleId="Standard">
    <w:name w:val="Standard"/>
    <w:link w:val="StandardZnak"/>
    <w:rsid w:val="00181F50"/>
    <w:pPr>
      <w:autoSpaceDN w:val="0"/>
      <w:spacing w:after="160" w:line="259" w:lineRule="auto"/>
      <w:textAlignment w:val="baseline"/>
    </w:pPr>
    <w:rPr>
      <w:rFonts w:ascii="Calibri" w:eastAsia="SimSun" w:hAnsi="Calibri" w:cs="Tahoma"/>
      <w:sz w:val="24"/>
      <w:szCs w:val="24"/>
    </w:rPr>
  </w:style>
  <w:style w:type="character" w:customStyle="1" w:styleId="StandardZnak">
    <w:name w:val="Standard Znak"/>
    <w:basedOn w:val="Domylnaczcionkaakapitu"/>
    <w:link w:val="Standard"/>
    <w:rsid w:val="00181F50"/>
    <w:rPr>
      <w:rFonts w:ascii="Calibri" w:eastAsia="SimSun" w:hAnsi="Calibri" w:cs="Tahoma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712E"/>
    <w:rPr>
      <w:color w:val="605E5C"/>
      <w:shd w:val="clear" w:color="auto" w:fill="E1DFDD"/>
    </w:rPr>
  </w:style>
  <w:style w:type="numbering" w:customStyle="1" w:styleId="WWNum9">
    <w:name w:val="WWNum9"/>
    <w:basedOn w:val="Bezlisty"/>
    <w:rsid w:val="005F254A"/>
    <w:pPr>
      <w:numPr>
        <w:numId w:val="31"/>
      </w:numPr>
    </w:pPr>
  </w:style>
  <w:style w:type="paragraph" w:customStyle="1" w:styleId="styl5">
    <w:name w:val="styl 5"/>
    <w:basedOn w:val="Nagwek5"/>
    <w:link w:val="styl5Znak"/>
    <w:qFormat/>
    <w:rsid w:val="005F254A"/>
    <w:pPr>
      <w:numPr>
        <w:numId w:val="32"/>
      </w:numPr>
      <w:autoSpaceDN w:val="0"/>
      <w:spacing w:line="276" w:lineRule="auto"/>
      <w:contextualSpacing w:val="0"/>
      <w:textAlignment w:val="baseline"/>
    </w:pPr>
    <w:rPr>
      <w:rFonts w:eastAsia="SimSun" w:cs="Tahoma"/>
      <w:szCs w:val="24"/>
    </w:rPr>
  </w:style>
  <w:style w:type="character" w:customStyle="1" w:styleId="styl5Znak">
    <w:name w:val="styl 5 Znak"/>
    <w:basedOn w:val="Domylnaczcionkaakapitu"/>
    <w:link w:val="styl5"/>
    <w:rsid w:val="005F254A"/>
    <w:rPr>
      <w:rFonts w:ascii="Calibri" w:eastAsia="SimSun" w:hAnsi="Calibri" w:cs="Tahoma"/>
      <w:b/>
      <w:sz w:val="24"/>
      <w:szCs w:val="24"/>
    </w:rPr>
  </w:style>
  <w:style w:type="paragraph" w:styleId="Lista4">
    <w:name w:val="List 4"/>
    <w:basedOn w:val="Normalny"/>
    <w:uiPriority w:val="99"/>
    <w:semiHidden/>
    <w:unhideWhenUsed/>
    <w:rsid w:val="00EF3DE2"/>
    <w:pPr>
      <w:ind w:left="1132" w:hanging="283"/>
    </w:pPr>
  </w:style>
  <w:style w:type="numbering" w:customStyle="1" w:styleId="WWNum11">
    <w:name w:val="WWNum11"/>
    <w:basedOn w:val="Bezlisty"/>
    <w:rsid w:val="00F61D2A"/>
    <w:pPr>
      <w:numPr>
        <w:numId w:val="33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C00097"/>
    <w:rPr>
      <w:color w:val="954F72" w:themeColor="followedHyperlink"/>
      <w:u w:val="single"/>
    </w:rPr>
  </w:style>
  <w:style w:type="numbering" w:customStyle="1" w:styleId="Styl3">
    <w:name w:val="Styl3"/>
    <w:uiPriority w:val="99"/>
    <w:rsid w:val="00E736AB"/>
    <w:pPr>
      <w:numPr>
        <w:numId w:val="35"/>
      </w:numPr>
    </w:pPr>
  </w:style>
  <w:style w:type="character" w:styleId="Tytuksiki">
    <w:name w:val="Book Title"/>
    <w:basedOn w:val="Domylnaczcionkaakapitu"/>
    <w:uiPriority w:val="33"/>
    <w:qFormat/>
    <w:rsid w:val="000765C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bpr.pomorskie.pl/plan-zagospodarowania-wojewodztwa/zmiana-planu-zagospodarowania-przestrzennego-wojewodztwa-pomorskieg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pomorskie.eu/m,344,plan-gospodarki-odpadami.html" TargetMode="External"/><Relationship Id="rId2" Type="http://schemas.openxmlformats.org/officeDocument/2006/relationships/hyperlink" Target="https://strategia2030.pomorskie.eu/2023/01/17/zmiana-regionalnego-programu-strategicznego-w-zakresie-gospodarki-rynku-pracy-turystyki-i-oferty-czasu-wolnego-przyjeta/?doing_wp_cron=1674720080.8698089122772216796875" TargetMode="External"/><Relationship Id="rId1" Type="http://schemas.openxmlformats.org/officeDocument/2006/relationships/hyperlink" Target="https://strategia2030.pomorskie.eu/-/strategia-rozwoju-wojewodztwa-pomorskiego-203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4" ma:contentTypeDescription="Utwórz nowy dokument." ma:contentTypeScope="" ma:versionID="09d835a9c87fec991941f07a4681fc74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3de38e4c7bd3542163b06df86441096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E2B13-FCF4-45C6-9B6E-26A9C5ABC472}">
  <ds:schemaRefs>
    <ds:schemaRef ds:uri="c532969f-1f69-4e26-a505-784b50f22cfa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e0980843-c367-4ebd-b1e8-00dd3949e4df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FFAD000-7341-4233-9F24-F788C27157F6}"/>
</file>

<file path=customXml/itemProps3.xml><?xml version="1.0" encoding="utf-8"?>
<ds:datastoreItem xmlns:ds="http://schemas.openxmlformats.org/officeDocument/2006/customXml" ds:itemID="{46514E54-0396-4014-BF44-01BA86361B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09488-563E-408D-A1CF-6119C815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2525</Words>
  <Characters>15154</Characters>
  <Application>Microsoft Office Word</Application>
  <DocSecurity>4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</dc:creator>
  <dc:description/>
  <cp:lastModifiedBy>Szopinska Natalia</cp:lastModifiedBy>
  <cp:revision>2</cp:revision>
  <dcterms:created xsi:type="dcterms:W3CDTF">2025-02-11T14:36:00Z</dcterms:created>
  <dcterms:modified xsi:type="dcterms:W3CDTF">2025-02-11T14:36:00Z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</Properties>
</file>